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兴银理财丰利兴动多策略封闭式13号增强型固收类理财产品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兴银理财丰利兴动多策略封闭式13号增强型固收类理财产品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9K766130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595,690,059.06份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未敲出：年化【0.01%-0.15%】/敲出：年化【4.75%-5.05%】/--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产品9K766130自成立日以来，累计净值增长率为0.5240%，年化累计净值增长率为1.4167%。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1.00524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598,809,159.56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该产品的场外期权买入以来，挂钩标的中证1000指数经历了一波调整，随后进入震荡区间，究其原因是经济数据趋于平淡、权益市场做多情绪已得到较充分释放。由于中证1000指数价格处于敲出观察价下方，因此期权价值一直处于低收益状态。而本产品的生息资产部分坚持稳健生息策略，对于利率敞口暴露及其有限，因此生息资产的表现依然相对稳健。展望未来一段时间，从股债性价比角度，股权溢价率已经达到负两倍标准差附近，处于极低区间，标志着权益市场极具性价比，预计下半年有望回到期初价格以上，实现较好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42,803,995.49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28,641,754.85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24,461,811.89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24,459,425.98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23,721,000.39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19,116,660.90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19,089,722.11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18,980,141.96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17,399,147.46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17,381,763.16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兴银理财丰利兴动多策略封闭式13号增强型固收类理财产品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兴银理财丰利兴动多策略封闭式13号增强型固收类理财产品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051010100101511594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兴银理财丰利兴动多策略封闭式13号增强型固收类理财产品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