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兴银理财丰利兴动多策略封闭式12号增强型固收类理财产品2023年第二季度报告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兴银理财丰利兴动多策略封闭式12号增强型固收类理财产品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兴银理财丰利兴动多策略封闭式12号增强型固收类理财产品2023年第二季度报告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兴银理财丰利兴动多策略封闭式12号增强型固收类理财产品2023年第二季度报告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兴银理财丰利兴动多策略封闭式12号增强型固收类理财产品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9K766120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Z7002022000801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299,461,223.16份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未敲出：年化【0.01%-0.15%】/敲出：年化【4.85%-5.15%】/--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产品9K766120自成立日以来，累计净值增长率为0.3190%，年化累计净值增长率为0.8200%。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兴银理财丰利兴动多策略封闭式12号增强型固收类理财产品2023年第二季度报告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1.00319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1.00319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300,417,441.98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该产品的场外期权买入以来，挂钩标的中证1000指数经历了一波调整，随后进入震荡区间，究其原因是经济数据趋于平淡、权益市场做多情绪已得到较充分释放。由于中证1000指数价格处于敲出观察价下方，因此期权价值一直处于低收益状态。而本产品的生息资产部分坚持稳健生息策略，对于利率敞口暴露及其有限，因此生息资产的表现依然相对稳健。展望未来一段时间，从股债性价比角度，股权溢价率已经达到负两倍标准差附近，处于极低区间，标志着权益市场极具性价比，预计下半年有望回到期初价格以上，实现较好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兴银理财丰利兴动多策略封闭式12号增强型固收类理财产品2023年第二季度报告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21,197,100.73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17,555,364.09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17,250,140.80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17,250,140.80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14,147,798.86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14,127,862.08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14,046,764.35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10,600,947.34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10,539,710.27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8,625,070.40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兴银理财丰利兴动多策略封闭式12号增强型固收类理财产品2023年第二季度报告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兴银理财丰利兴动多策略封闭式12号增强型固收类理财产品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兴银理财丰利兴动多策略封闭式12号增强型固收类理财产品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051010100101511471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兴银理财丰利兴动多策略封闭式12号增强型固收类理财产品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