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兴银理财睿利兴合丰瑞开放式3号增强型固收类理财产品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兴银理财睿利兴合丰瑞开放式3号增强型固收类理财产品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Z7002023000143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6,747,264.63份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9K77723A：中证可转换债券指数收益率×50%+ 万得中长期纯债型基金指数收益率×40%+人民银行7天通知存款利率×10%/5.00%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睿利兴合丰瑞3号A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6,747,264.63</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产品9K77723A自成立日以来，累计净值增长率为-0.0010%，年化累计净值增长率为-0.0036%。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6,747,207.36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6,747,207.36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史力文女士，上海交通大学硕士，8年资管行业从业经验，先后就职于交通银行、上海银行资产管理部，现任兴银理财权益投资部投资经理。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方面，在高质量发展模式下，传统负债驱动经济增长逻辑发生变化，预计债券收益率将长时间维持较低水平；年初至今，利率水平/信用利差已重回低位，考虑到经济弱复苏叠加资金面宽松，债市机会仍存，但后续超额收益难度大，市场波动可能增加。投资策略上保持1.5-2年中性久期，根据市场情况，优选高性价比资产，并通过高频数据及时跟踪经济复苏情况，把握预期差带来的利率债交易机会，通过利率债波段操作增厚产品收益。</w:t>
              <w:br/>
              <w:t xml:space="preserve">可转债投资方面，继续发挥管理人在权益资产领域的专业优势，为客户创造更多收益。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宁波太平鸟时尚服饰股份有限公司公开发行可转换公司债券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291,024.75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广东拓斯达科技股份有限公司向不特定对象发行可转换公司债券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247,631.70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2018年海澜之家股份有限公司可转换公司债券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221,859.33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闻泰科技股份有限公司公开发行可转换公司债券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217,962.36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温氏食品集团股份有限公司向不特定对象发行可转换公司债券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中国银行股份有限公司2019年二级资本债券(第一期)(品种一)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186,230.81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中国银行股份有限公司2019年二级资本债券(第二期)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185,492.43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兴银理财睿利兴合丰瑞开放式3号增强型固收类理财产品2023年第二季度报告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上海银行股份有限公司2021年金融债券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183,637.39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中信建投证券股份有限公司面向专业投资者公开发行2022年次级债券(第一期)(品种一)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180,585.95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2021年工银金融租赁有限公司金融债券(第一期)(债券通)</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180,576.33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兴银理财睿利兴合丰瑞开放式3号增强型固收类理财产品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051010100101553423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兴银理财睿利兴合丰瑞开放式3号增强型固收类理财产品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