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2,787,770,710.65份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9K81005A：中债新综合全价（1年以下）指数收益率/--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2,787,770,710.65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产品9K81005A自成立日以来，累计净值增长率为5.8830%，年化累计净值增长率为3.1439%。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2,951,768,768.80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2,951,768,768.80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23正泰SCP001(科创票据)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110,779,919.84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110,098,583.35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92,074,636.72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83,251,068.49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70,815,165.34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60,777,071.80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23创元投资SCP001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60,447,426.89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20农十二师MTN002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52,399,304.79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51,930,061.65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51,104,610.38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22苏沙钢MTN003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23桐昆控股SCP002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23温州交运SCP001(乡村振兴)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23新中泰集SCP002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