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兴银理财众盈私享封闭式2023年1期固收类理财产品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兴银理财众盈私享封闭式2023年1期固收类理财产品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525,070,000份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9K91025A：4.15%/4.15%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众盈私享2年封闭A（纯盈款）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525,070,000.00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产品9K91025A自成立日以来，累计净值增长率为1.5630%，年化累计净值增长率为4.6382%。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533,274,980.31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533,274,980.31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【云南信托-金匠503号 】单一资金信托-百洋医药可转债收益权（百洋医药集团有限公司）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65,045,135.20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国通信托·宜兰贷款单一资金信托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50,031,592.93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泰康-元康2号资产支持计划第8期优先A2级受益凭证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40,482,487.32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泰康-元康2号资产支持计划第7期优先A2级受益凭证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33,812,025.50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23川华西MTN001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30,635,141.57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23咸宁城投PPN001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30,623,643.65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21产基03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20,513,346.13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20,410,025.75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23先行控股SCP004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20,372,424.11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20,351,967.12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5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兴银理财众盈私享封闭式2023年1期固收类理财产品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兴银理财众盈私享封闭式2023年1期固收类理财产品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兴银理财众盈私享封闭式2023年1期固收类理财产品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