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兴银理财睿利稳健十四个月定期开放1号增强型固收类理财产品2023年第二季度报告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兴银理财睿利稳健十四个月定期开放1号增强型固收类理财产品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兴银理财睿利稳健十四个月定期开放1号增强型固收类理财产品2023年第二季度报告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兴银理财睿利稳健十四个月定期开放1号增强型固收类理财产品2023年第二季度报告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兴银理财睿利稳健十四个月定期开放1号增强型固收类理财产品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9K919010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Z7002022000370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24,641,806.89份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9K91901A：3.50%--5.50%/5.50%</w:t>
              <w:br/>
              <w:t xml:space="preserve">  9K91901B：3.50%--5.50%/5.50%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兴银睿利稳健1号A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9K91901A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24,641,806.89</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兴银理财睿利稳健十四个月定期开放1号增强型固收类理财产品2023年第二季度报告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产品9K91901A自成立日以来，累计净值增长率为2.0030%，年化累计净值增长率为2.2495%。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25,135,501.50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25,135,501.50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李源先生，经济学博士，FRM，8年资产管理行业从业经验。2016年加入兴业银行资产管理部，现任兴银理财权益投资部类固收投资处处长、投资经理。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投资方面，二季度，受宏观经济基本面走弱，稳增长政策低于预期的影响，债市收益率呈现单边下行走势。4月份观察到各项宏观数据，包括预期PMI、价格CPI、金融数据均出现一致性的做多信号，对债市的判断从中性偏保守转向中性偏积极。固收部分久期维持在2年左右中性水平，相对市场更为积极，同时采用票息策略，提高组合静态收益水平。在4-5月收益率快速下行阶段，获取较好的资本利得。三季度，债市的应对比预判更重要，市场经历从“交易政策”到“交易现实”。在政策层面，从理性角度，在高质量发展的定调下，政策定力超出市场预期，政策空间受到限制，市场转向需要触发因素。从感性角度，市场对经济复苏抱有期待，对美好生活仍有向往。特别是在7月政策预期对债市的扰动或将持续。目前投资者对政策预期较低，预期差对债市的冲击将比较明显。在基本面层面：经济周期性因素占据主导，库存周期处于探底阶段，在无外部刺激的情况下，居民和企业的资产负债表收缩进程或将持续，内需恢复需要更长时间。由于二季度金融数据偏弱，导致三季度的实物工作量不足，月度同比数据可能不理想，基本面改善和库存周期见底的信号或将在四季度出现。下半年，债市波动可能加大，债券组合久期控制在1.5年左右，增加利率债资产配置比例，提升组合流动性。待债市调整到位后，重新回到基本面定价的逻辑，可适当通过交易性仓位增加久期暴露。品种方面，积极参与可转债资产，通过品种选择，增加组合弹性。</w:t>
              <w:br/>
              <w:t xml:space="preserve">    权益投资方面，坚持绝对收益策略，先为不败而后求胜，强调安全边际和逆向投资，在风险预算管理的前提下进行仓位管理，选择赔率足够和性价比高的投资方向。下半年，看好高质量发展的主攻方向，包括受益于政策环境、具备市场竞争力的高端制造和科技成长等板块，同时保持组合整体平衡性，注重止盈止损和波段操作。</w:t>
              <w:br/>
            </w:r>
          </w:p>
        </w:tc>
        <w:tc>
          <w:tcPr>
     </w:tcPr>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兴银理财睿利稳健十四个月定期开放1号增强型固收类理财产品2023年第二季度报告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22绍兴迪荡新城04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4,511,923.89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22拱墅国控01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4,508,921.22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1,361,809.68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兴银理财睿利稳健十四个月定期开放1号增强型固收类理财产品2023年第二季度报告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1,127,845.97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908,926.63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907,645.79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902,435.66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681,058.83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677,124.65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500,131.31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22拱墅国控01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22绍兴迪荡新城04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兴银理财睿利稳健十四个月定期开放1号增强型固收类理财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兴银理财睿利稳健十四个月定期开放1号增强型固收类理财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051010100101451884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兴银理财睿利稳健十四个月定期开放1号增强型固收类理财产品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兴银理财睿利稳健十四个月定期开放1号增强型固收类理财产品2023年第二季度报告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