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兴银理财兴承恒享众盈十四月定期开放2号固收类理财产品2023年第二季度报告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兴银理财兴承恒享众盈十四月定期开放2号固收类理财产品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兴银理财兴承恒享众盈十四月定期开放2号固收类理财产品2023年第二季度报告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兴银理财兴承恒享众盈十四月定期开放2号固收类理财产品2023年第二季度报告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兴银理财兴承恒享众盈十四月定期开放2号固收类理财产品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9K520820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Z7002022000346</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951,086,573.44份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9K52082A：4.00%--4.50%/4.50%</w:t>
            </w:r>
            <w:r>
              <w:rPr>
                <w:rFonts w:ascii="宋体" w:hAnsi="宋体" w:eastAsia="宋体" w:cs="宋体"/>
                <w:color w:val="000000"/>
                <w:sz w:val="21"/>
              </w:rPr>
              <w:br w:type="textWrapping"/>
            </w:r>
            <w:r>
              <w:rPr>
                <w:rFonts w:ascii="宋体" w:hAnsi="宋体" w:eastAsia="宋体" w:cs="宋体"/>
                <w:color w:val="000000"/>
                <w:sz w:val="21"/>
              </w:rPr>
              <w:t xml:space="preserve">  9K52082B：4.05%--4.55%/4.55%</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兴银兴承恒享众盈十四月定开2号A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9K52082A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691,675,382.30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兴银兴承恒享众盈十四月定开2号B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9K52082B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259,411,191.14</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兴银理财兴承恒享众盈十四月定期开放2号固收类理财产品2023年第二季度报告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产品9K52082A自成立日以来，累计净值增长率为1.7320%，年化累计净值增长率为1.9512%。</w:t>
            </w:r>
            <w:r>
              <w:rPr>
                <w:rFonts w:ascii="宋体" w:hAnsi="宋体" w:eastAsia="宋体" w:cs="宋体"/>
                <w:color w:val="000000"/>
                <w:sz w:val="21"/>
              </w:rPr>
              <w:br w:type="textWrapping"/>
            </w:r>
            <w:r>
              <w:rPr>
                <w:rFonts w:ascii="宋体" w:hAnsi="宋体" w:eastAsia="宋体" w:cs="宋体"/>
                <w:color w:val="000000"/>
                <w:sz w:val="21"/>
              </w:rPr>
              <w:t>产品9K52082B自成立日以来，累计净值增长率为1.7770%，年化累计净值增长率为2.0019%。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9K520820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967,676,163.53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9K52082A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1.01732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1.01732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703,655,807.50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9K52082B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1.01777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1.01777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264,020,356.03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孙建飞先生，现任兴银理财专户投资部投资经理，上海交通大学金融学硕士，CPA/CFA，6年固定收益投研经验。历任海通证券资管信评主管、华泰资产管理有限公司投资经理。2022年加入兴银理财，负责多款企金专户产品及私行公募产品管理。多年深耕信用债投研，擅长信用策略、波段交易及大类资产配置，投资风格稳健，业绩优秀，具有丰富的保险资金、企业年金、私人银行等净值型固收产品管理经验。</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3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一、2023年二季度市场回顾与产品投资策略</w:t>
            </w:r>
            <w:r>
              <w:rPr>
                <w:rFonts w:ascii="宋体" w:hAnsi="宋体" w:eastAsia="宋体" w:cs="宋体"/>
                <w:color w:val="000000"/>
                <w:sz w:val="21"/>
              </w:rPr>
              <w:br w:type="textWrapping"/>
            </w:r>
            <w:r>
              <w:rPr>
                <w:rFonts w:ascii="宋体" w:hAnsi="宋体" w:eastAsia="宋体" w:cs="宋体"/>
                <w:color w:val="000000"/>
                <w:sz w:val="21"/>
              </w:rPr>
              <w:t xml:space="preserve">    1、市场回顾</w:t>
            </w:r>
            <w:r>
              <w:rPr>
                <w:rFonts w:ascii="宋体" w:hAnsi="宋体" w:eastAsia="宋体" w:cs="宋体"/>
                <w:color w:val="000000"/>
                <w:sz w:val="21"/>
              </w:rPr>
              <w:br w:type="textWrapping"/>
            </w:r>
            <w:r>
              <w:rPr>
                <w:rFonts w:ascii="宋体" w:hAnsi="宋体" w:eastAsia="宋体" w:cs="宋体"/>
                <w:color w:val="000000"/>
                <w:sz w:val="21"/>
              </w:rP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r>
            <w:r>
              <w:rPr>
                <w:rFonts w:ascii="宋体" w:hAnsi="宋体" w:eastAsia="宋体" w:cs="宋体"/>
                <w:color w:val="000000"/>
                <w:sz w:val="21"/>
              </w:rPr>
              <w:br w:type="textWrapping"/>
            </w:r>
            <w:r>
              <w:rPr>
                <w:rFonts w:ascii="宋体" w:hAnsi="宋体" w:eastAsia="宋体" w:cs="宋体"/>
                <w:color w:val="000000"/>
                <w:sz w:val="21"/>
              </w:rPr>
              <w:t xml:space="preserve">    同时，二季度货币政策边际宽松迹象明显，资金价格较一季度环比大幅下降，同时央行于6月下调OMO及MLF利率，重启降息周期。货币政策的边际宽松成为债市走牛的基础，其余稳增长政策定力较强。</w:t>
            </w:r>
            <w:r>
              <w:rPr>
                <w:rFonts w:ascii="宋体" w:hAnsi="宋体" w:eastAsia="宋体" w:cs="宋体"/>
                <w:color w:val="000000"/>
                <w:sz w:val="21"/>
              </w:rPr>
              <w:br w:type="textWrapping"/>
            </w:r>
            <w:r>
              <w:rPr>
                <w:rFonts w:ascii="宋体" w:hAnsi="宋体" w:eastAsia="宋体" w:cs="宋体"/>
                <w:color w:val="000000"/>
                <w:sz w:val="21"/>
              </w:rP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兴银理财兴承恒享众盈十四月定期开放2号固收类理财产品2023年第二季度报告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br w:type="textWrapping"/>
            </w:r>
            <w:r>
              <w:rPr>
                <w:rFonts w:ascii="宋体" w:hAnsi="宋体" w:eastAsia="宋体" w:cs="宋体"/>
                <w:color w:val="000000"/>
                <w:sz w:val="21"/>
              </w:rPr>
              <w:t xml:space="preserve">    2、产品运作</w:t>
            </w:r>
            <w:r>
              <w:rPr>
                <w:rFonts w:ascii="宋体" w:hAnsi="宋体" w:eastAsia="宋体" w:cs="宋体"/>
                <w:color w:val="000000"/>
                <w:sz w:val="21"/>
              </w:rPr>
              <w:br w:type="textWrapping"/>
            </w:r>
            <w:r>
              <w:rPr>
                <w:rFonts w:ascii="宋体" w:hAnsi="宋体" w:eastAsia="宋体" w:cs="宋体"/>
                <w:color w:val="000000"/>
                <w:sz w:val="21"/>
              </w:rPr>
              <w:t xml:space="preserve">    二季度经济复苏节奏放缓，债市继续上演修复行情，二季度呈现“小牛市”行情，增长动能下降的投资主线贯穿始末，货币政策宽松推动收益率持</w:t>
            </w:r>
            <w:bookmarkStart w:id="8" w:name="_GoBack"/>
            <w:bookmarkEnd w:id="8"/>
            <w:r>
              <w:rPr>
                <w:rFonts w:ascii="宋体" w:hAnsi="宋体" w:eastAsia="宋体" w:cs="宋体"/>
                <w:color w:val="000000"/>
                <w:sz w:val="21"/>
              </w:rPr>
              <w:t>续下行。产品抓住了牛市机会，积极参与市场交易，提升了产品久期和杠杆，在产品增加仓位的同时，进一步通过提升高等级信用债比例，增加信用债基投资等方式提升产品流动性。通过积极操作，产品净值增长较快。</w:t>
            </w:r>
            <w:r>
              <w:rPr>
                <w:rFonts w:ascii="宋体" w:hAnsi="宋体" w:eastAsia="宋体" w:cs="宋体"/>
                <w:color w:val="000000"/>
                <w:sz w:val="21"/>
              </w:rPr>
              <w:br w:type="textWrapping"/>
            </w:r>
            <w:r>
              <w:rPr>
                <w:rFonts w:ascii="宋体" w:hAnsi="宋体" w:eastAsia="宋体" w:cs="宋体"/>
                <w:color w:val="000000"/>
                <w:sz w:val="21"/>
              </w:rPr>
              <w:t>二、2023年三季度展望与投资</w:t>
            </w:r>
            <w:r>
              <w:rPr>
                <w:rFonts w:ascii="宋体" w:hAnsi="宋体" w:eastAsia="宋体" w:cs="宋体"/>
                <w:color w:val="000000"/>
                <w:sz w:val="21"/>
              </w:rPr>
              <w:br w:type="textWrapping"/>
            </w:r>
            <w:r>
              <w:rPr>
                <w:rFonts w:ascii="宋体" w:hAnsi="宋体" w:eastAsia="宋体" w:cs="宋体"/>
                <w:color w:val="000000"/>
                <w:sz w:val="21"/>
              </w:rPr>
              <w:t xml:space="preserve">    1、2023年三季度展望</w:t>
            </w:r>
            <w:r>
              <w:rPr>
                <w:rFonts w:ascii="宋体" w:hAnsi="宋体" w:eastAsia="宋体" w:cs="宋体"/>
                <w:color w:val="000000"/>
                <w:sz w:val="21"/>
              </w:rPr>
              <w:br w:type="textWrapping"/>
            </w:r>
            <w:r>
              <w:rPr>
                <w:rFonts w:ascii="宋体" w:hAnsi="宋体" w:eastAsia="宋体" w:cs="宋体"/>
                <w:color w:val="000000"/>
                <w:sz w:val="21"/>
              </w:rP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r>
            <w:r>
              <w:rPr>
                <w:rFonts w:ascii="宋体" w:hAnsi="宋体" w:eastAsia="宋体" w:cs="宋体"/>
                <w:color w:val="000000"/>
                <w:sz w:val="21"/>
              </w:rPr>
              <w:br w:type="textWrapping"/>
            </w:r>
            <w:r>
              <w:rPr>
                <w:rFonts w:ascii="宋体" w:hAnsi="宋体" w:eastAsia="宋体" w:cs="宋体"/>
                <w:color w:val="000000"/>
                <w:sz w:val="21"/>
              </w:rPr>
              <w:t xml:space="preserve">    2、投资策略</w:t>
            </w:r>
            <w:r>
              <w:rPr>
                <w:rFonts w:ascii="宋体" w:hAnsi="宋体" w:eastAsia="宋体" w:cs="宋体"/>
                <w:color w:val="000000"/>
                <w:sz w:val="21"/>
              </w:rPr>
              <w:br w:type="textWrapping"/>
            </w:r>
            <w:r>
              <w:rPr>
                <w:rFonts w:ascii="宋体" w:hAnsi="宋体" w:eastAsia="宋体" w:cs="宋体"/>
                <w:color w:val="000000"/>
                <w:sz w:val="21"/>
              </w:rP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89.15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2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兴银理财兴承恒享众盈十四月定期开放2号固收类理财产品2023年第二季度报告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22扬子国资02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48,052,410.08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23连城02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40,720,287.12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22太仓城发01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40,013,489.86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22绍兴迪荡新城04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30,580,817.48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22海城建设MTN001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30,382,023.29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22郑新02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30,330,966.58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22晋能煤业MTN014(科创票据)</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30,256,061.15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23嘉商02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30,252,241.23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20平顶发展MTN001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21,404,711.78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21首开MTN004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20,698,102.19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6" w:name="JR_PAGE_ANCHOR_0_7"/>
            <w:bookmarkEnd w:id="6"/>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兴银理财兴承恒享众盈十四月定期开放2号固收类理财产品2023年第二季度报告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trHeight w:val="9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20象屿G2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21南宁城投MTN001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21厦国贸控MTN006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21新余城建MTN001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21伊犁财通MTN003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22贵州高速MTN003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22晋能煤业MTN014(科创票据)</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22潞安MTN002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22绍兴迪荡新城04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22太仓城发01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22扬子国资02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22岳阳城投MTN001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22镇江交通MTN003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23甘金控MTN001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23黄石众邦MTN001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兴银理财兴承恒享众盈十四月定期开放2号固收类理财产品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兴银理财兴承恒享众盈十四月定期开放2号固收类理财产品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兴银理财兴承恒享众盈十四月定期开放2号固收类理财产品2023年第二季度报告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051010100101450454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兴银理财兴承恒享众盈十四月定期开放2号固收类理财产品</w:t>
                        </w:r>
                      </w:p>
                    </w:tc>
                  </w:tr>
                </w:tbl>
                <w:p>
                  <w:pPr>
                    <w:pStyle w:val="4"/>
                  </w:pPr>
                </w:p>
              </w:tc>
            </w:tr>
          </w:tbl>
          <w:p>
            <w:pPr>
              <w:pStyle w:val="4"/>
            </w:pPr>
          </w:p>
        </w:tc>
        <w:tc>
          <w:p>
            <w:pPr>
              <w:pStyle w:val="4"/>
            </w:pPr>
          </w:p>
        </w:tc>
      </w:tr>
      <w:tr>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108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800"/>
  <w:compat>
    <w:useFELayout/>
    <w:splitPgBreakAndParaMark/>
    <w:compatSetting w:name="compatibilityMode" w:uri="http://schemas.microsoft.com/office/word" w:val="12"/>
  </w:compat>
  <w:rsids>
    <w:rsidRoot w:val="00000000"/>
    <w:rsid w:val="748213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2023-07-20T02:24:04Z</dcterms:created>
  <dc:creator>cib</dc:creator>
  <cp:lastModifiedBy>cib</cp:lastModifiedBy>
  <dcterms:modified xsi:type="dcterms:W3CDTF">2023-07-20T02:24:49Z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