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兴银理财金雪球稳添利季盈(3个月最短持有期)1号日开固收类理财产品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兴银理财金雪球稳添利季盈(3个月最短持有期)1号日开固收类理财产品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1,999,918,757.72份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9C212103：-/--</w:t>
              <w:br/>
              <w:t xml:space="preserve">  9C21213B：-/--</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金雪球稳添利季盈1号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9C212103（适用【A】份额）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1,999,918,757.72</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产品9C212103自成立日以来，累计净值增长率为3.5850%，年化累计净值增长率为3.0290%。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2,071,609,170.80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2,071,609,170.80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301,585,187.52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149,394,956.61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148,859,416.30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定期存款20230330006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100,780,390.01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21山东海洋MTN001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51,391,718.49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42,919,737.21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34,011,835.35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23鲁钢铁SCP004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30,386,016.16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29,760,355.96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22,378,151.29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18龙岩汇金MTN001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23吴中国太SCP001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23浙兴合SCP001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23中原环保SCP001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兴银理财金雪球稳添利季盈(3个月最短持有期)1号日开固收</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兴银理财金雪球稳添利季盈(3个月最短持有期)1号日开固收</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兴银理财金雪球稳添利季盈3个月最短持有期1号日开固收类理财</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