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兴银理财稳添利双周盈（14天最短持有）1号日开固收类理财产品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兴银理财稳添利双周盈（14天最短持有）1号日开固收类理财产品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Z7002022000423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1,114,250,084.3份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9C212105：-/--</w:t>
              <w:br/>
              <w:t xml:space="preserve">  9C21215B：-/--</w:t>
              <w:br/>
              <w:t xml:space="preserve">  9C21215D：-/--</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金雪球稳添利双周盈（科创金融）</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9C212105（适用【A】份额）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1,114,250,084.30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产品9C212105自成立日以来，累计净值增长率为2.3200%，年化累计净值增长率为2.6629%。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1,140,098,556.17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9C212105（适用【A】份额）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1,140,098,556.17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70,366,613.01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38,324,128.37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23青岛军民MTN001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30,734,224.92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23中原环保SCP001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30,405,636.99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23晋交投MTN003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29,945,807.21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27,490,342.05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22,626,942.34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21,721,864.65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20,737,285.21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20,522,084.59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23海发集团SCP002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23中原环保SCP001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兴银理财稳添利双周盈（14天最短持有）1号日开固收类理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兴银理财稳添利双周盈（14天最短持有）1号日开固收类理财产品2023年第二季度报告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兴银理财稳添利双周盈（14天最短持有）1号日开固收类理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Z存放同业（线上）20230418001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051010100101454386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兴银理财稳添利双周盈14天最短持有1号日开固收类理财产品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