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7,817,951,999.96份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9K218071：4.30%--4.80%/4.80%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稳利恒盈K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9K218071（适用【A】份额）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7,817,951,999.96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产品9K218071自成立日以来，累计净值增长率为17.0690%，年化累计净值增长率为4.7777%。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8,238,319,019.84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8,238,319,019.84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1,406,511,088.89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612,534,414.44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478,250,669.73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355,748,318.49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331,853,518.03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314,521,209.86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301,413,509.59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274,796,713.57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205,599,568.99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22附息国债03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202,706,911.60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23河钢集MTN005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天天万利宝稳利3号净值型理财产品K款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天天万利宝稳利3号净值型理财产品K款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