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16,567,527,255.05份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现金宝3号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90612011（适用【A】份额）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报告期内，90612011七日年化收益率均值2.3133%。同期业绩比较基准¹如下：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况提前布局产品流动性，保障产品运作安全。同时，我们会按照《关于规范现金管理类理财产品管理有关事项的通知》的相关要求，持续动态监控产品投资组合，保障产品合规、平稳地运作。</w:t>
              <w:br/>
              <w:t xml:space="preserve">”</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1,160,083,777.78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1,014,583,332.50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1,014,058,332.53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1,013,999,999.20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751,442,361.14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507,017,360.85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22杭州银行CD273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497,622,336.65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405,007,110.92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18西部物流MTN001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20兆润投资MTN002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23春风一方ABN002优先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