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兴银理财天天万利宝稳利恒盈7号封闭式净值型理财产品第30期</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p>
            <w:pPr>
              <w:pStyle w:val="4"/>
            </w:pPr>
          </w:p>
        </w:tc>
      </w:tr>
      <w:tr>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兴银理财天天万利宝稳利恒盈7号封闭式净值型理财产品第30期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9N213300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Z7002022000024</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3,627,970,857.89份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42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9N21330A：3.95%/3.95%</w:t>
            </w:r>
            <w:r>
              <w:rPr>
                <w:rFonts w:ascii="宋体" w:hAnsi="宋体" w:eastAsia="宋体" w:cs="宋体"/>
                <w:color w:val="000000"/>
                <w:sz w:val="21"/>
              </w:rPr>
              <w:br w:type="textWrapping"/>
            </w:r>
            <w:r>
              <w:rPr>
                <w:rFonts w:ascii="宋体" w:hAnsi="宋体" w:eastAsia="宋体" w:cs="宋体"/>
                <w:color w:val="000000"/>
                <w:sz w:val="21"/>
              </w:rPr>
              <w:t xml:space="preserve">  9N21330B：3.70%/3.70%</w:t>
            </w:r>
            <w:r>
              <w:rPr>
                <w:rFonts w:ascii="宋体" w:hAnsi="宋体" w:eastAsia="宋体" w:cs="宋体"/>
                <w:color w:val="000000"/>
                <w:sz w:val="21"/>
              </w:rPr>
              <w:br w:type="textWrapping"/>
            </w:r>
            <w:r>
              <w:rPr>
                <w:rFonts w:ascii="宋体" w:hAnsi="宋体" w:eastAsia="宋体" w:cs="宋体"/>
                <w:color w:val="000000"/>
                <w:sz w:val="21"/>
              </w:rPr>
              <w:t xml:space="preserve">  9N21330C：3.85%/3.85%</w:t>
            </w:r>
            <w:r>
              <w:rPr>
                <w:rFonts w:ascii="宋体" w:hAnsi="宋体" w:eastAsia="宋体" w:cs="宋体"/>
                <w:color w:val="000000"/>
                <w:sz w:val="21"/>
              </w:rPr>
              <w:br w:type="textWrapping"/>
            </w:r>
            <w:r>
              <w:rPr>
                <w:rFonts w:ascii="宋体" w:hAnsi="宋体" w:eastAsia="宋体" w:cs="宋体"/>
                <w:color w:val="000000"/>
                <w:sz w:val="21"/>
              </w:rPr>
              <w:t xml:space="preserve">  9N21330D：3.75%/3.75%</w:t>
            </w:r>
            <w:r>
              <w:rPr>
                <w:rFonts w:ascii="宋体" w:hAnsi="宋体" w:eastAsia="宋体" w:cs="宋体"/>
                <w:color w:val="000000"/>
                <w:sz w:val="21"/>
              </w:rPr>
              <w:br w:type="textWrapping"/>
            </w:r>
            <w:r>
              <w:rPr>
                <w:rFonts w:ascii="宋体" w:hAnsi="宋体" w:eastAsia="宋体" w:cs="宋体"/>
                <w:color w:val="000000"/>
                <w:sz w:val="21"/>
              </w:rPr>
              <w:t xml:space="preserve">  9N21330E：3.80%/3.80%</w:t>
            </w:r>
            <w:r>
              <w:rPr>
                <w:rFonts w:ascii="宋体" w:hAnsi="宋体" w:eastAsia="宋体" w:cs="宋体"/>
                <w:color w:val="000000"/>
                <w:sz w:val="21"/>
              </w:rPr>
              <w:br w:type="textWrapping"/>
            </w:r>
            <w:r>
              <w:rPr>
                <w:rFonts w:ascii="宋体" w:hAnsi="宋体" w:eastAsia="宋体" w:cs="宋体"/>
                <w:color w:val="000000"/>
                <w:sz w:val="21"/>
              </w:rPr>
              <w:t xml:space="preserve">  9N21330F：3.79%/3.79%</w:t>
            </w:r>
          </w:p>
        </w:tc>
        <w:tc>
          <w:p>
            <w:pPr>
              <w:pStyle w:val="4"/>
            </w:pPr>
          </w:p>
        </w:tc>
      </w:tr>
      <w:tr>
        <w:tblPrEx>
          <w:tblCellMar>
            <w:top w:w="0" w:type="dxa"/>
            <w:left w:w="10" w:type="dxa"/>
            <w:bottom w:w="0" w:type="dxa"/>
            <w:right w:w="10" w:type="dxa"/>
          </w:tblCellMar>
        </w:tblPrEx>
        <w:trPr>
          <w:gridAfter w:val="3"/>
          <w:trHeight w:val="1528" w:hRule="exact"/>
        </w:trPr>
        <w:tc>
          <w:p>
            <w:pPr>
              <w:pStyle w:val="4"/>
            </w:pPr>
          </w:p>
        </w:tc>
        <w:tc>
          <w:tcPr>
            <w:gridSpan w:val="6"/>
          </w:tcPr>
          <w:p>
            <w:pPr>
              <w:pStyle w:val="4"/>
            </w:pPr>
          </w:p>
        </w:tc>
        <w:tc>
          <w:p>
            <w:pPr>
              <w:pStyle w:val="4"/>
            </w:pPr>
          </w:p>
        </w:tc>
        <w:tc>
          <w:tcPr>
            <w:gridSpan w:val="2"/>
          </w:tcPr>
          <w:p>
            <w:pPr>
              <w:pStyle w:val="4"/>
            </w:pPr>
            <w:bookmarkStart w:id="8" w:name="_GoBack"/>
            <w:bookmarkEnd w:id="8"/>
          </w:p>
        </w:tc>
        <w:tc>
          <w:tcPr>
            <w:gridSpan w:val="2"/>
          </w:tcPr>
          <w:p>
            <w:pPr>
              <w:pStyle w:val="4"/>
            </w:pPr>
          </w:p>
        </w:tc>
        <w:tc>
          <w:tcPr>
            <w:gridSpan w:val="4"/>
          </w:tcPr>
          <w:p>
            <w:pPr>
              <w:pStyle w:val="4"/>
            </w:pPr>
          </w:p>
        </w:tc>
        <w:tc>
          <w:p>
            <w:pPr>
              <w:pStyle w:val="4"/>
            </w:pPr>
          </w:p>
        </w:tc>
      </w:tr>
      <w:tr>
        <w:trPr>
          <w:gridAfter w:val="3"/>
          <w:trHeight w:val="486"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稳利恒盈7号第30期14M封闭（纯盈款）A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3,473,382,973.72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稳利恒盈7号第30期14M封闭（纯盈款）B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21,354,021.43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稳利恒盈7号第30期14M封闭-行庆专属纯盈款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34,396,400.00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稳利恒盈7号第30期14M封闭（纯盈款）D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14,876,497.00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稳利恒盈7号第30期14M封闭（纯盈款）E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9N21330E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66,835,518.61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稳利恒盈7号第30期14M封闭（纯盈款）F</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9N21330F</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17,125,447.13</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产品9N21330A自成立日以来，累计净值增长率为1.9290%，年化累计净值增长率为4.3195%。</w:t>
            </w:r>
            <w:r>
              <w:rPr>
                <w:rFonts w:ascii="宋体" w:hAnsi="宋体" w:eastAsia="宋体" w:cs="宋体"/>
                <w:color w:val="000000"/>
                <w:sz w:val="21"/>
              </w:rPr>
              <w:br w:type="textWrapping"/>
            </w:r>
            <w:r>
              <w:rPr>
                <w:rFonts w:ascii="宋体" w:hAnsi="宋体" w:eastAsia="宋体" w:cs="宋体"/>
                <w:color w:val="000000"/>
                <w:sz w:val="21"/>
              </w:rPr>
              <w:t>产品9N21330B自成立日以来，累计净值增长率为1.8160%，年化累计净值增长率为4.0665%。</w:t>
            </w:r>
            <w:r>
              <w:rPr>
                <w:rFonts w:ascii="宋体" w:hAnsi="宋体" w:eastAsia="宋体" w:cs="宋体"/>
                <w:color w:val="000000"/>
                <w:sz w:val="21"/>
              </w:rPr>
              <w:br w:type="textWrapping"/>
            </w:r>
            <w:r>
              <w:rPr>
                <w:rFonts w:ascii="宋体" w:hAnsi="宋体" w:eastAsia="宋体" w:cs="宋体"/>
                <w:color w:val="000000"/>
                <w:sz w:val="21"/>
              </w:rPr>
              <w:t>产品9N21330C自成立日以来，累计净值增长率为1.8840%，年化累计净值增长率为4.2188%。</w:t>
            </w:r>
            <w:r>
              <w:rPr>
                <w:rFonts w:ascii="宋体" w:hAnsi="宋体" w:eastAsia="宋体" w:cs="宋体"/>
                <w:color w:val="000000"/>
                <w:sz w:val="21"/>
              </w:rPr>
              <w:br w:type="textWrapping"/>
            </w:r>
            <w:r>
              <w:rPr>
                <w:rFonts w:ascii="宋体" w:hAnsi="宋体" w:eastAsia="宋体" w:cs="宋体"/>
                <w:color w:val="000000"/>
                <w:sz w:val="21"/>
              </w:rPr>
              <w:t>产品9N21330D自成立日以来，累计净值增长率为1.8390%，年化累计净值增长率为4.1180%。</w:t>
            </w:r>
            <w:r>
              <w:rPr>
                <w:rFonts w:ascii="宋体" w:hAnsi="宋体" w:eastAsia="宋体" w:cs="宋体"/>
                <w:color w:val="000000"/>
                <w:sz w:val="21"/>
              </w:rPr>
              <w:br w:type="textWrapping"/>
            </w:r>
            <w:r>
              <w:rPr>
                <w:rFonts w:ascii="宋体" w:hAnsi="宋体" w:eastAsia="宋体" w:cs="宋体"/>
                <w:color w:val="000000"/>
                <w:sz w:val="21"/>
              </w:rPr>
              <w:t>产品9N21330E自成立日以来，累计净值增长率为1.8610%，年化累计净值增长率为4.1673%。</w:t>
            </w:r>
            <w:r>
              <w:rPr>
                <w:rFonts w:ascii="宋体" w:hAnsi="宋体" w:eastAsia="宋体" w:cs="宋体"/>
                <w:color w:val="000000"/>
                <w:sz w:val="21"/>
              </w:rPr>
              <w:br w:type="textWrapping"/>
            </w:r>
            <w:r>
              <w:rPr>
                <w:rFonts w:ascii="宋体" w:hAnsi="宋体" w:eastAsia="宋体" w:cs="宋体"/>
                <w:color w:val="000000"/>
                <w:sz w:val="21"/>
              </w:rPr>
              <w:t>产品9N21330F自成立日以来，累计净值增长率为1.8570%，年化累计净值增长率为4.1583%。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3,697,828,347.13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3,540,369,368.17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21,741,848.80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35,044,291.39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15,150,023.94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68,079,411.49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9N21330F</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17,443,403.34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3"/>
          </w:tcPr>
          <w:p>
            <w:pPr>
              <w:pStyle w:val="4"/>
            </w:pP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[粤财信托·瑞丰55-2号]单一资金信托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800,780,562.44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23嘉善国资01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200,943,126.03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23奉化区投03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195,609,891.12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23泰州凤城河02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190,834,974.52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23山西国电01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140,200,310.05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19赣州城投MTN001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131,101,044.99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23海安城建02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130,367,719.56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124,600,658.63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114,534,783.15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112,784,492.26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21润达医疗MTN001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22肥西城乡PPN001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22宜春交通MTN001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23奉化区投03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兴银理财天天万利宝稳利恒盈7号封闭式净值型理财产品第30期2023年第二季度报告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23海安城建02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23湖北文旅01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23嘉善国资01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23南通经开SCP002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23浦口城乡SCP001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23山西国电01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23苏沙钢SCP002(科创票据)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23泰州凤城河02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23温州交运SCP001(乡村振兴)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23盐城交通CP001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051010100101350064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兴银理财天天万利宝稳利恒盈7号封闭式净值型理财产品第30期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3"/>
          </w:tcPr>
          <w:p>
            <w:pPr>
              <w:pStyle w:val="4"/>
            </w:pPr>
          </w:p>
        </w:tc>
        <w:tc>
          <w:p>
            <w:pPr>
              <w:pStyle w:val="4"/>
            </w:pPr>
          </w:p>
        </w:tc>
      </w:tr>
      <w:tr>
        <w:tblPrEx>
          <w:tblCellMar>
            <w:top w:w="0" w:type="dxa"/>
            <w:left w:w="10" w:type="dxa"/>
            <w:bottom w:w="0" w:type="dxa"/>
            <w:right w:w="10" w:type="dxa"/>
          </w:tblCellMar>
        </w:tblPrEx>
        <w:trPr>
          <w:trHeight w:val="1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16597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2023-07-20T02:01:58Z</dcterms:created>
  <dc:creator>cib</dc:creator>
  <cp:lastModifiedBy>cib</cp:lastModifiedBy>
  <dcterms:modified xsi:type="dcterms:W3CDTF">2023-07-20T02:04:29Z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