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兴银理财天天万利宝稳利恒盈封闭式2022年28期固收类理财产品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兴银理财天天万利宝稳利恒盈封闭式2022年28期固收类理财产品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9N214380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Z7002022000227</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310,553,932.02份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9N21438A：4.70%--5.20%/5.20%</w:t>
            </w:r>
            <w:r>
              <w:rPr>
                <w:rFonts w:ascii="宋体" w:hAnsi="宋体" w:eastAsia="宋体" w:cs="宋体"/>
                <w:color w:val="000000"/>
                <w:sz w:val="21"/>
              </w:rPr>
              <w:br w:type="textWrapping"/>
            </w:r>
            <w:r>
              <w:rPr>
                <w:rFonts w:ascii="宋体" w:hAnsi="宋体" w:eastAsia="宋体" w:cs="宋体"/>
                <w:color w:val="000000"/>
                <w:sz w:val="21"/>
              </w:rPr>
              <w:t xml:space="preserve">  9N21438B：4.80%--5.30%/5.30%</w:t>
            </w:r>
            <w:r>
              <w:rPr>
                <w:rFonts w:ascii="宋体" w:hAnsi="宋体" w:eastAsia="宋体" w:cs="宋体"/>
                <w:color w:val="000000"/>
                <w:sz w:val="21"/>
              </w:rPr>
              <w:br w:type="textWrapping"/>
            </w:r>
            <w:r>
              <w:rPr>
                <w:rFonts w:ascii="宋体" w:hAnsi="宋体" w:eastAsia="宋体" w:cs="宋体"/>
                <w:color w:val="000000"/>
                <w:sz w:val="21"/>
              </w:rPr>
              <w:t xml:space="preserve">  9N21438C：4.60%--5.10%/5.10%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稳利恒盈封闭式2022年28期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71,669,912.02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稳利恒盈封闭式2022年28期 3年B(回馈款)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210,290,000.00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稳利恒盈封闭式2022年28期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28,594,020.00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产品9N21438A自成立日以来，累计净值增长率为2.8210%，年化累计净值增长率为4.7232%。</w:t>
            </w:r>
            <w:r>
              <w:rPr>
                <w:rFonts w:ascii="宋体" w:hAnsi="宋体" w:eastAsia="宋体" w:cs="宋体"/>
                <w:color w:val="000000"/>
                <w:sz w:val="21"/>
              </w:rPr>
              <w:br w:type="textWrapping"/>
            </w:r>
            <w:r>
              <w:rPr>
                <w:rFonts w:ascii="宋体" w:hAnsi="宋体" w:eastAsia="宋体" w:cs="宋体"/>
                <w:color w:val="000000"/>
                <w:sz w:val="21"/>
              </w:rPr>
              <w:t>产品9N21438B自成立日以来，累计净值增长率为2.8820%，年化累计净值增长率为4.8254%。</w:t>
            </w:r>
            <w:r>
              <w:rPr>
                <w:rFonts w:ascii="宋体" w:hAnsi="宋体" w:eastAsia="宋体" w:cs="宋体"/>
                <w:color w:val="000000"/>
                <w:sz w:val="21"/>
              </w:rPr>
              <w:br w:type="textWrapping"/>
            </w:r>
            <w:r>
              <w:rPr>
                <w:rFonts w:ascii="宋体" w:hAnsi="宋体" w:eastAsia="宋体" w:cs="宋体"/>
                <w:color w:val="000000"/>
                <w:sz w:val="21"/>
              </w:rPr>
              <w:t>产品9N21438C自成立日以来，累计净值增长率为2.7600%，年化累计净值增长率为4.6211%。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319,425,240.62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73,691,601.11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216,350,501.51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29,383,138.00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bookmarkStart w:id="8" w:name="_GoBack"/>
            <w:bookmarkEnd w:id="8"/>
            <w:r>
              <w:rPr>
                <w:rFonts w:ascii="宋体" w:hAnsi="宋体" w:eastAsia="宋体" w:cs="宋体"/>
                <w:color w:val="000000"/>
                <w:sz w:val="21"/>
              </w:rPr>
              <w:t>2.9%附近震荡，信用利差伴随理财规模回升先上后下。2）3-4月经济高频数据修复斜率放缓，原材料价格、商品房</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1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23华夏银行绿债01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20,226,906.89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22伊犁财通PPN003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15,328,832.40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20乌经开MTN002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10,526,850.53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20天恒置业PPN001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10,401,388.82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10,373,693.25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10,282,358.18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22新疆兵团PPN001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10,277,863.06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22锡西新城MTN001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10,261,787.26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10,254,331.37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10,238,068.29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22威宁投资MTN002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兴银理财天天万利宝稳利恒盈封闭式2022年28期固收类理财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兴银理财天天万利宝稳利恒盈封闭式2022年28期固收类理财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051010100101415355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兴银理财天天万利宝稳利恒盈封闭式2022年28期固收类理财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03D02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2023-07-20T02:06:29Z</dcterms:created>
  <dc:creator>cib</dc:creator>
  <cp:lastModifiedBy>cib</cp:lastModifiedBy>
  <dcterms:modified xsi:type="dcterms:W3CDTF">2023-07-20T02:10:06Z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