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兴银理财丰利悦动稳享十四个月封闭式1号固收类理财产品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兴银理财丰利悦动稳享十四个月封闭式1号固收类理财产品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9S212020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509,818,033.51份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3.55%--3.75%/--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产品9S212020自成立日以来，累计净值增长率为1.1640%，年化累计净值增长率为4.0081%。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515,754,434.82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悦动稳享14个月1号为封闭式产品，债券部分采用衰竭式久期的配置方式，非标资产配置比例不高于50%，权益仓位为0%。</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华泰投融兴银6号单一资产管理计划（天山铝业场内股票质押）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100,097,806.42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55,041,016.36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50,395,296.98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48,017,856.38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21金街05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41,164,577.48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31,997,009.07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21黔铁01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30,620,051.89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30,500,662.31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兴银理财丰利悦动稳享十四个月封闭式1号固收类理财产品2023年第二季度报告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19京融G2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29,489,958.63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29,432,342.36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051010100101574442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兴银理财丰利悦动稳享十四个月封闭式1号固收类理财产品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