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兴银理财添利万利宝1号净值型理财产品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兴银理财添利万利宝1号净值型理财产品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9WLB0001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137,768,131.21份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3.85%--4.45%/4.45%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产品9WLB0001自成立日以来，累计净值增长率为2.4130%，年化累计净值增长率为5.3378%。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1.02413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1.02413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141,092,295.82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6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优先、兼顾收益性的稳健策略，综合考量各类资产的风险收益特征，根据市场情况灵活把握投资节奏，保障产品运作安全。</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6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13,133,226.67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13,123,795.08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13,088,771.30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13,082,740.01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21滨建G1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12,483,391.89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19黄发01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12,403,881.04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16青建投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12,346,836.00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12,336,922.68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12,264,246.57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12,261,400.27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16青建投</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051010100101309063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