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兴银理财安愉五年封闭2号固收类养老理财产品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兴银理财安愉五年封闭2号固收类养老理财产品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398,822,994.21份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产品9YL00002自成立日以来，累计净值增长率为1.9890%，年化累计净值增长率为3.3925%。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1.01989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1.01989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406,755,518.56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整体采用动态CPPI策略，在可控的风险预算内逐步增加风险资产占比，严格控制产品波动以达成产品收益目标，运作过程中动态比较各类资产性价比，战术性调整相关资产比例。固收资产部分，二季度管理人发挥专业能力，抓住市场对基本面强预期的错误定价，适度应用久期策略、杠杆策略，较好的获得债券市场阶段性行情的利得收益。权益资产部分，疫情带来的疤痕效应，导致疫后脉冲式复苏后，企业、居民等微观内生需求不足，上半年全A盈利修复不及预期，同时，国内外的金融环境和风险事件反复扰动国内市场估值定价，因此二季度国内权益市场机会有限，整体呈现较为极致的结构性行情；管理人有效控制风险暴露，在市场低位择机加仓，为产品持有更好地锁定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35,240,889.66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35,226,506.10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35,223,900.27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35,218,655.55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32,677,789.73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23柯桥建设10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28,104,273.22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12,033,462.14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10,002,686.51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9,966,070.92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8,031,617.35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23柯桥建设10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8111301011500782623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兴银理财安愉五年封闭2号固收类养老理财产品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