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兴银理财增盈稳享封闭式35号固收类理财产品2023年半年度报告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兴银理财增盈稳享封闭式35号固收类理财产品</w:t>
              <w:br/>
              <w:t xml:space="preserve">2023年半年度报告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报告送出日期：2023年9月22日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兴银理财增盈稳享封闭式35号固收类理财产品2023年半年度报告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740"/>
        <w:gridCol w:w="1260"/>
        <w:gridCol w:w="2000"/>
        <w:gridCol w:w="3300"/>
        <w:gridCol w:w="2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兴银理财增盈稳享封闭式35号固收类理财产品2023年半年度报告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6"/>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兴银理财增盈稳享封闭式35号固收类理财产品</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9K240350</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Z7002022000254</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封闭式</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881,762,258份</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业绩比较基准¹/业绩报酬计提基准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9K24035A：4.20%/4.20%</w:t>
              <w:br/>
              <w:t xml:space="preserve">  9K24035B：4.25%/4.25%</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gridSpan w:val="6"/>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增盈稳享封闭式35号A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9K24035A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370,782,704.00</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增盈稳享封闭式35号B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9K24035B</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510,979,554.00</w:t>
                        </w:r>
                      </w:p>
                    </w:tc>
                  </w:tr>
                </w:tbl>
                <w:p>
                  <w:pPr>
                    <w:pStyle w:val="EMPTY_CELL_STYLE"/>
                  </w:pPr>
                </w:p>
              </w:tc>
            </w:tr>
          </w:tbl>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2840"/>
        <w:gridCol w:w="460"/>
        <w:gridCol w:w="20"/>
        <w:gridCol w:w="2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7"/>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兴银理财增盈稳享封闭式35号固收类理财产品2023年半年度报告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7"/>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7"/>
            <w:tcMar>
              <w:top w:w="0" w:type="dxa"/>
              <w:left w:w="0" w:type="dxa"/>
              <w:bottom w:w="0" w:type="dxa"/>
              <w:right w:w="0" w:type="dxa"/>
            </w:tcMar>
            <w:vAlign w:val="top"/>
          </w:tcPr>
          <w:p>
            <w:pPr>
              <w:ind/>
            </w:pPr>
            <w:r>
              <w:rPr>
                <w:rFonts w:ascii="宋体" w:hAnsi="宋体" w:eastAsia="宋体" w:cs="宋体"/>
                <w:color w:val="000000"/>
                <w:sz w:val="16"/>
              </w:rPr>
              <w:t xml:space="preserve">注:业绩比较基准指管理人综合考虑市场环境、产品性质、投资策略、过往表现等因素，对理财产品设置的投资目标和相关解释说明。业绩比较基准不代表理财产品未来表现，不等于理财产品实际收益，不作为产品收益的业绩保证，投资须谨慎。</w:t>
            </w:r>
          </w:p>
        </w:tc>
        <w:tc>
          <w:tcPr>
     </w:tcPr>
          <w:p>
            <w:pPr>
              <w:pStyle w:val="EMPTY_CELL_STYLE"/>
            </w:pPr>
          </w:p>
        </w:tc>
        <w:tc>
          <w:tcPr>
     </w:tcPr>
          <w:p>
            <w:pPr>
              <w:pStyle w:val="EMPTY_CELL_STYLE"/>
            </w:pPr>
          </w:p>
        </w:tc>
      </w:tr>
      <w:tr>
        <w:trPr>
          <w:trHeight w:hRule="exact" w:val="8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产品9K24035A自成立日以来，累计净值增长率为1.6080%，年化累计净值增长率为2.0239%。</w:t>
              <w:br/>
              <w:t xml:space="preserve">产品9K24035B自成立日以来，累计净值增长率为1.6480%，年化累计净值增长率为2.0742%。</w:t>
              <w:br/>
              <w:t xml:space="preserve">报告期末，产品净值表现具体如下：</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9K240350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1.01631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1.01631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896,146,646.21</w:t>
                        </w:r>
                      </w:p>
                    </w:tc>
                  </w:tr>
                </w:tbl>
                <w:p>
                  <w:pPr>
                    <w:pStyle w:val="EMPTY_CELL_STYLE"/>
                  </w:pPr>
                </w:p>
              </w:tc>
            </w:tr>
          </w:tbl>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9K24035A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1.01608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1.01608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376,744,922.20</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9K24035B</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1.01648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1.01648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519,401,724.01</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8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姜锡峰先生，上海财经大学管理学硕士，2020年加入兴业银行，金融从业10年，曾历任长信基金基金经理、浦银安盛基金基金经理助理、湘财证券债券研究员，现任兴业银行资产管理事业部多资产投资经理。</w:t>
            </w:r>
          </w:p>
        </w:tc>
        <w:tc>
          <w:tcPr>
     </w:tcPr>
          <w:p>
            <w:pPr>
              <w:pStyle w:val="EMPTY_CELL_STYLE"/>
            </w:pP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90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2023年二季度，国内经济增速再次回落，通胀下行。政策方面，货币政策总体宽松，银行间资金利率处于低位。债市方面，债券市场收益率明显回落。股市方面，股票市场先下跌后震荡，结构上TMT表现最好。本报告期内，债券仓位持平，但久期有所收窄。权益仓位维持高于中枢的仓位，结构偏向高股息。展望未来，预计经济增速在低位徘徊一定时间后有望上行，但幅度不确定性较大。从大类资产层面看，基本面对固收类资产的利好程度有所下降，权益市场可能会有阶段性的反弹行情。下阶段，本组合将继续维持较短的组合久期，同时择机参与一些权益市场的机会，力争为组合创造稳健的收益。</w:t>
            </w:r>
          </w:p>
        </w:tc>
        <w:tc>
          <w:tcPr>
     </w:tcPr>
          <w:p>
            <w:pPr>
              <w:pStyle w:val="EMPTY_CELL_STYLE"/>
            </w:pPr>
          </w:p>
        </w:tc>
        <w:tc>
          <w:tcPr>
     </w:tcPr>
          <w:p>
            <w:pPr>
              <w:pStyle w:val="EMPTY_CELL_STYLE"/>
            </w:pPr>
          </w:p>
        </w:tc>
        <w:tc>
          <w:tcPr>
     </w:tcPr>
          <w:p>
            <w:pPr>
              <w:pStyle w:val="EMPTY_CELL_STYLE"/>
            </w:pPr>
          </w:p>
        </w:tc>
      </w:tr>
      <w:tr>
        <w:trPr>
          <w:trHeight w:hRule="exact" w:val="21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兴银理财增盈稳享封闭式35号固收类理财产品2023年半年度报告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72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现金及银行存款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0.11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10.50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同业存单</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0.74</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14.71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14.71</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代客境外理财投资QDII</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0.93</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金融衍生品</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-0.37</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权益类投资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0.09</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拆放同业及债券买入返售</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0.27</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27.68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29.92</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43.21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43.21</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14.29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兴银理财增盈稳享封闭式35号固收类理财产品2023年半年度报告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报告期末本产品总资产未超过该产品净资产规模的200%，符合产品协议对本产品杠杆比例的要求。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主要来自于若投资品种所处的交易市场不活跃，可能带来资产变现困难或产品持仓资产在市场出现剧烈波动的情况下难以以合理价格变现的风险。</w:t>
              <w:br/>
              <w:t xml:space="preserve">    为防范无法支付到期赎回款而产生的流动性风险，本理财产品管理人将合理安排所投资产期限，产品到期前完成所投资组合中相关资产变现，尽可能降低产品流动性风险，有效保障理财持有人利益。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中原信托-联易融保理应收账款债权2号（第3期）—广州城建（广州分行）</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139,761,275.42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15.60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22温江兴蓉03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100,975,415.07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11.27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22锡山资产02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86,647,827.40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9.67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22浦口交通01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80,080,707.95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8.94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20如东02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31,161,247.81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3.48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东方红聚利债券型证券投资基金</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28,371,058.50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22福建漳州CP002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20,343,936.99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Z浙-同业借款20221121001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20,016,334.59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20盐城资产PPN001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15,498,628.77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21厦国贸控MTN001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15,380,534.51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1.72</w:t>
                        </w:r>
                      </w:p>
                    </w:tc>
                  </w:tr>
                </w:tbl>
                <w:p>
                  <w:pPr>
                    <w:pStyle w:val="EMPTY_CELL_STYLE"/>
                  </w:pPr>
                </w:p>
              </w:tc>
            </w:tr>
          </w:tbl>
          <w:p>
            <w:pPr>
              <w:pStyle w:val="EMPTY_CELL_STYLE"/>
            </w:pPr>
          </w:p>
        </w:tc>
        <w:tc>
          <w:tcPr>
     </w:tcPr>
          <w:p>
            <w:pPr>
              <w:pStyle w:val="EMPTY_CELL_STYLE"/>
            </w:pPr>
          </w:p>
        </w:tc>
      </w:tr>
      <w:tr>
        <w:trPr>
          <w:trHeight w:hRule="exact" w:val="22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兴银理财增盈稳享封闭式35号固收类理财产品2023年半年度报告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6600"/>
        </w:trPr>
        <w:tc>
          <w:tcPr>
     </w:tcPr>
          <w:p>
            <w:pPr>
              <w:pStyle w:val="EMPTY_CELL_STYLE"/>
            </w:pPr>
          </w:p>
        </w:tc>
        <w:tc>
          <w:tcPr>
            <w:gridSpan w:val="6"/>
            <w:tcMar>
              <w:top w:w="0" w:type="dxa"/>
              <w:left w:w="0" w:type="dxa"/>
              <w:bottom w:w="0" w:type="dxa"/>
              <w:right w:w="0" w:type="dxa"/>
            </w:tcMar>
          </w:tcPr>
          <w:tbl>
            <w:tblPr>
              <w:tblLayout w:type="fixed"/>
            </w:tblPr>
            <w:tblGrid>
              <w:gridCol w:w="3600"/>
              <w:gridCol w:w="3000"/>
              <w:gridCol w:w="4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20武商贸集MTN001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兴业银行股份有限公司、九江银行股份有限公司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21金圆投资MTN001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21厦国贸控MTN001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21渝富MTN002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九江银行股份有限公司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22福建漳州CP002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22浦口交通01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22温江兴蓉03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22锡山资产02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86,000,000.00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22徐州高新MTN002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23五凌2号ABN001优先</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24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兴银理财增盈稳享封闭式35号固收类理财产品</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13.31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兴业信托·兴享稳健睿郡2号</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兴业国际信托有限公司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兴业期货-兴合4号集合资产管理计划</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051010100101441714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兴银理财增盈稳享封闭式35号固收类理财产品</w:t>
                        </w:r>
                      </w:p>
                    </w:tc>
                  </w:tr>
                </w:tbl>
                <w:p>
                  <w:pPr>
                    <w:pStyle w:val="EMPTY_CELL_STYLE"/>
                  </w:pPr>
                </w:p>
              </w:tc>
            </w:tr>
          </w:tbl>
          <w:p>
            <w:pPr>
              <w:pStyle w:val="EMPTY_CELL_STYLE"/>
            </w:pPr>
          </w:p>
        </w:tc>
        <w:tc>
          <w:tcPr>
     </w:tcPr>
          <w:p>
            <w:pPr>
              <w:pStyle w:val="EMPTY_CELL_STYLE"/>
            </w:pPr>
          </w:p>
        </w:tc>
      </w:tr>
      <w:tr>
        <w:trPr>
          <w:trHeight w:hRule="exact" w:val="6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2000"/>
        <w:gridCol w:w="2000"/>
        <w:gridCol w:w="3300"/>
        <w:gridCol w:w="1"/>
      </w:tblGrid>
      <w:tr>
        <w:trPr>
          <w:trHeight w:hRule="exact" w:val="0"/>
        </w:trPr>
        <w:tc>
          <w:tcPr>
     </w:tcPr>
          <w:p>
            <w:pPr>
              <w:pStyle w:val="EMPTY_CELL_STYLE"/>
              <w:pageBreakBefore/>
            </w:pPr>
            <w:bookmarkStart w:id="7" w:name="JR_PAGE_ANCHOR_0_8"/>
            <w:bookmarkEnd w:id="7"/>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兴银理财增盈稳享封闭式35号固收类理财产品2023年半年度报告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4"/>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top"/>
          </w:tcPr>
          <w:p>
            <w:pPr>
              <w:ind/>
              <w:jc w:val="right"/>
            </w:pPr>
            <w:r>
              <w:rPr>
                <w:rFonts w:ascii="宋体" w:hAnsi="宋体" w:eastAsia="宋体" w:cs="宋体"/>
                <w:color w:val="000000"/>
                <w:sz w:val="21"/>
              </w:rPr>
              <w:t xml:space="preserve">2023年9月22日</w:t>
            </w:r>
          </w:p>
        </w:tc>
        <w:tc>
          <w:tcPr>
     </w:tcPr>
          <w:p>
            <w:pPr>
              <w:pStyle w:val="EMPTY_CELL_STYLE"/>
            </w:pPr>
          </w:p>
        </w:tc>
      </w:tr>
      <w:tr>
        <w:trPr>
          <w:trHeight w:hRule="exact" w:val="13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8/</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r>
    </w:tbl>
    <w:sectPr>
      <w:pgSz w:w="11900" w:h="16840" w:orient="portrait"/>
      <w:pgMar w:top="600" w:right="60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