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兴银理财增盈稳享封闭式39号固收类理财产品2023年半年度报告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兴银理财增盈稳享封闭式39号固收类理财产品</w:t>
              <w:br/>
              <w:t xml:space="preserve">2023年半年度报告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报告送出日期：2023年9月22日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兴银理财增盈稳享封闭式39号固收类理财产品2023年半年度报告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理财托管机构报告</w:t>
              <w:br/>
              <w:t xml:space="preserve">§ 七.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 </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33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兴银理财增盈稳享封闭式39号固收类理财产品2023年半年度报告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5"/>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兴银理财增盈稳享封闭式39号固收类理财产品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9K240390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Z7002022000258</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封闭式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1,000,000,000.00份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业绩比较基准/业绩报酬计提基准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4.25%/4.25%</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R2</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29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r>
    </w:tbl>
    <w:tbl>
      <w:tblPr>
        <w:tblLayout w:type="fixed"/>
      </w:tblPr>
      <w:tblGrid>
        <w:gridCol w:w="1"/>
        <w:gridCol w:w="20"/>
        <w:gridCol w:w="2580"/>
        <w:gridCol w:w="800"/>
        <w:gridCol w:w="1700"/>
        <w:gridCol w:w="300"/>
        <w:gridCol w:w="2000"/>
        <w:gridCol w:w="400"/>
        <w:gridCol w:w="2400"/>
        <w:gridCol w:w="400"/>
        <w:gridCol w:w="100"/>
        <w:gridCol w:w="2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10"/>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兴银理财增盈稳享封闭式39号固收类理财产品2023年半年度报告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10"/>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10"/>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8"/>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产品9K240390自成立日以来，累计净值增长率为2.2080%，年化累计净值增长率为3.1855%。</w:t>
              <w:br/>
              <w:t xml:space="preserve">报告期末，产品净值表现具体如下：</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2"/>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估值日期</w:t>
            </w:r>
          </w:p>
        </w:tc>
        <w:tc>
          <w:tcPr>
            <w:gridSpan w:val="2"/>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产品份额净值</w:t>
            </w:r>
          </w:p>
        </w:tc>
        <w:tc>
          <w:tcPr>
            <w:gridSpan w:val="3"/>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产品累计净值 </w:t>
            </w:r>
          </w:p>
        </w:tc>
        <w:tc>
          <w:tcPr>
            <w:gridSpan w:val="2"/>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产品资产净值</w:t>
            </w: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2"/>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2023年6月30日</w:t>
            </w:r>
          </w:p>
        </w:tc>
        <w:tc>
          <w:tcPr>
            <w:gridSpan w:val="2"/>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1.02208</w:t>
            </w:r>
          </w:p>
        </w:tc>
        <w:tc>
          <w:tcPr>
            <w:gridSpan w:val="3"/>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1.02208</w:t>
            </w:r>
          </w:p>
        </w:tc>
        <w:tc>
          <w:tcPr>
            <w:gridSpan w:val="2"/>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1,022,078,206.47</w:t>
            </w:r>
          </w:p>
        </w:tc>
        <w:tc>
          <w:tcP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10"/>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240"/>
        </w:trPr>
        <w:tc>
          <w:tcPr>
     </w:tcPr>
          <w:p>
            <w:pPr>
              <w:pStyle w:val="EMPTY_CELL_STYLE"/>
            </w:pPr>
          </w:p>
        </w:tc>
        <w:tc>
          <w:tcPr>
            <w:gridSpan w:val="10"/>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严泓，复旦大学数学系本科+经济学硕士，金融投资专业领域从业12年，具备丰富的多资产领域投资经验和广阔的全球宏观对冲视野。历任国内大型金融机构和顶尖私募对冲基金投资经理、合伙人，独立管理账户和产品超过10年，业绩表现优异。投资理念坚持自上而下和自下而上结合，把握宏观趋势结合微观结构，善于利于基本面和量化策略进行大类资产配置，注重绝对收益。</w:t>
            </w: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10"/>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560"/>
        </w:trPr>
        <w:tc>
          <w:tcPr>
     </w:tcPr>
          <w:p>
            <w:pPr>
              <w:pStyle w:val="EMPTY_CELL_STYLE"/>
            </w:pPr>
          </w:p>
        </w:tc>
        <w:tc>
          <w:tcPr>
            <w:gridSpan w:val="10"/>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2023年上半年，权益市场方面，整体呈现震荡的态势，结构分化严重；债市在去年四季度大幅调整之后快速修复，体现债市对后期经济基本面的悲观预期。本报告期内，本组合积极调整债券持仓，利用利率衍生品对冲久期风险（未来可能利率上行风险），此外对权益资产进行积极调整行业结构，存量市场博弈下重结构轻仓位。本组合净值在本报告期内相对表现较好。展望今年，内外部环境都边际好转，有利于资产价格，中长期看好权益市场，债市收益率偏震荡重视票息策略。本组合将继续积极主动管理好大类资产的配置策略并精细化选择类属资产。</w:t>
            </w:r>
          </w:p>
        </w:tc>
        <w:tc>
          <w:tcPr>
     </w:tcPr>
          <w:p>
            <w:pPr>
              <w:pStyle w:val="EMPTY_CELL_STYLE"/>
            </w:pPr>
          </w:p>
        </w:tc>
        <w:tc>
          <w:tcPr>
     </w:tcPr>
          <w:p>
            <w:pPr>
              <w:pStyle w:val="EMPTY_CELL_STYLE"/>
            </w:pPr>
          </w:p>
        </w:tc>
      </w:tr>
      <w:tr>
        <w:trPr>
          <w:trHeight w:hRule="exact" w:val="5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10"/>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理财托管机构报告</w:t>
            </w:r>
          </w:p>
        </w:tc>
        <w:tc>
          <w:tcPr>
     </w:tcPr>
          <w:p>
            <w:pPr>
              <w:pStyle w:val="EMPTY_CELL_STYLE"/>
            </w:pPr>
          </w:p>
        </w:tc>
        <w:tc>
          <w:tcPr>
     </w:tcPr>
          <w:p>
            <w:pPr>
              <w:pStyle w:val="EMPTY_CELL_STYLE"/>
            </w:pPr>
          </w:p>
        </w:tc>
      </w:tr>
      <w:tr>
        <w:trPr>
          <w:trHeight w:hRule="exact" w:val="4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00"/>
        </w:trPr>
        <w:tc>
          <w:tcPr>
     </w:tcPr>
          <w:p>
            <w:pPr>
              <w:pStyle w:val="EMPTY_CELL_STYLE"/>
            </w:pPr>
          </w:p>
        </w:tc>
        <w:tc>
          <w:tcPr>
     </w:tcPr>
          <w:p>
            <w:pPr>
              <w:pStyle w:val="EMPTY_CELL_STYLE"/>
            </w:pPr>
          </w:p>
        </w:tc>
        <w:tc>
          <w:tcPr>
            <w:gridSpan w:val="10"/>
            <w:tcMar>
              <w:top w:w="0" w:type="dxa"/>
              <w:left w:w="0" w:type="dxa"/>
              <w:bottom w:w="0" w:type="dxa"/>
              <w:right w:w="0" w:type="dxa"/>
            </w:tcMar>
            <w:vAlign w:val="top"/>
          </w:tcPr>
          <w:p>
            <w:pPr>
              <w:ind/>
              <w:jc w:val="left"/>
              <w:spacing w:lineRule="exact" w:line="320" w:after="0" w:before="0"/>
            </w:pPr>
            <w:r>
              <w:rPr>
                <w:rFonts w:ascii="宋体" w:hAnsi="宋体" w:eastAsia="宋体" w:cs="宋体"/>
                <w:color w:val="000000"/>
                <w:sz w:val="21"/>
              </w:rPr>
              <w:br/>
              <w:t xml:space="preserve">    报告期内，托管人严格遵守《商业银行理财业务监督管理办法》及相关法律法规规定、理财产品托管协议约定，诚实信用、谨慎勤勉地履行了托管人义务，不存在损害理财产品投资者利益的行为。</w:t>
              <w:br/>
              <w:t xml:space="preserve">    报告期内，托管人根据国家有关法律法规规定、理财产品托管协议的约定，对管理人在本理财产品的投资运作、资产净值的计算、收益的计算、理财产品费用开支等方面进行了必要的监督、复核和审查，未发现其存在任何损害本理财产品投资者利益的行为。</w:t>
              <w:br/>
              <w:t xml:space="preserve">托管人认真复核了本报告中的净值表现、投资组合报告等内容，认为其真实、准确和完整，不存在虚假记载、误导性陈述或者重大遗漏。</w:t>
              <w:br/>
            </w:r>
          </w:p>
        </w:tc>
        <w:tc>
          <w:tcPr>
     </w:tcPr>
          <w:p>
            <w:pPr>
              <w:pStyle w:val="EMPTY_CELL_STYLE"/>
            </w:pPr>
          </w:p>
        </w:tc>
      </w:tr>
      <w:tr>
        <w:trPr>
          <w:trHeight w:hRule="exact" w:val="7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2000"/>
        <w:gridCol w:w="2000"/>
        <w:gridCol w:w="330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兴银理财增盈稳享封闭式39号固收类理财产品2023年半年度报告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七. 投资组合情况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60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600"/>
              <w:gridCol w:w="3600"/>
              <w:gridCol w:w="3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直接投资占产品总资产的比例（%）</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间接投资占产品总资产的比例（%）</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现金及银行存款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6.57</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同业存单</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0.56</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公募基金</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2.97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2.97</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金融衍生品</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-0.10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拆放同业及债券买入返售</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0.20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30.49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48.48</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非标准化债权类资产</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41.32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41.32</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委外投资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25.20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r>
          </w:tbl>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报告期末本产品总资产未超过该产品净资产规模的200%，符合产品协议对本产品杠杆比例的要求。</w:t>
            </w: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主要来自于若投资品种所处的交易市场不活跃，可能带来资产变现困难或产品持仓资产在市场出现剧烈波动的情况下难以以合理价格变现的风险。</w:t>
              <w:br/>
              <w:t xml:space="preserve">    为防范无法支付到期赎回款而产生的流动性风险，本理财产品管理人将合理安排所投资产期限，产品到期前完成所投资组合中相关资产变现，尽可能降低产品流动性风险，有效保障理财持有人利益。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r>
      <w:tr>
        <w:trPr>
          <w:trHeight w:hRule="exact" w:val="5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c>
          <w:tcPr>
     </w:tcPr>
          <w:p>
            <w:pPr>
              <w:pStyle w:val="EMPTY_CELL_STYLE"/>
            </w:pPr>
          </w:p>
        </w:tc>
      </w:tr>
      <w:tr>
        <w:trPr>
          <w:trHeight w:hRule="exact" w:val="1240"/>
        </w:trPr>
        <w:tc>
          <w:tcPr>
     </w:tcPr>
          <w:p>
            <w:pPr>
              <w:pStyle w:val="EMPTY_CELL_STYLE"/>
            </w:pPr>
          </w:p>
        </w:tc>
        <w:tc>
          <w:tcPr>
            <w:gridSpan w:val="5"/>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中原信托-联易融保理应收账款债权1号（第9期）—保利发展（广州分行）</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161,515,297.61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15.80</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0"/>
        <w:gridCol w:w="3200"/>
        <w:gridCol w:w="2000"/>
        <w:gridCol w:w="2000"/>
        <w:gridCol w:w="330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兴银理财增盈稳享封闭式39号固收类理财产品2023年半年度报告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5400"/>
        </w:trPr>
        <w:tc>
          <w:tcPr>
     </w:tcPr>
          <w:p>
            <w:pPr>
              <w:pStyle w:val="EMPTY_CELL_STYLE"/>
            </w:pPr>
          </w:p>
        </w:tc>
        <w:tc>
          <w:tcPr>
            <w:gridSpan w:val="5"/>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22徐州兴铜03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100,422,746.58</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9.83</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22湖南建工01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100,199,242.47</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9.80</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粤财信托瑞丰46-7号单一资金信托</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100,132,100.00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9.80</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21中化04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41,315,420.27</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21台州经济MTN001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40,520,929.40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3.96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21江西金融MTN001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31,142,071.70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23中原环保SCP001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30,365,114.44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2.97</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22宜兴公用01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30,063,943.15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2.94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20环湖01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20,841,663.84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2.04</w:t>
                        </w:r>
                      </w:p>
                    </w:tc>
                  </w:tr>
                </w:tbl>
                <w:p>
                  <w:pPr>
                    <w:pStyle w:val="EMPTY_CELL_STYLE"/>
                  </w:pPr>
                </w:p>
              </w:tc>
            </w:tr>
          </w:tbl>
          <w:p>
            <w:pPr>
              <w:pStyle w:val="EMPTY_CELL_STYLE"/>
            </w:pPr>
          </w:p>
        </w:tc>
        <w:tc>
          <w:tcPr>
     </w:tcPr>
          <w:p>
            <w:pPr>
              <w:pStyle w:val="EMPTY_CELL_STYLE"/>
            </w:pPr>
          </w:p>
        </w:tc>
      </w:tr>
      <w:tr>
        <w:trPr>
          <w:trHeight w:hRule="exact" w:val="1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r>
      <w:tr>
        <w:trPr>
          <w:trHeight w:hRule="exact" w:val="4200"/>
        </w:trPr>
        <w:tc>
          <w:tcPr>
     </w:tcPr>
          <w:p>
            <w:pPr>
              <w:pStyle w:val="EMPTY_CELL_STYLE"/>
            </w:pPr>
          </w:p>
        </w:tc>
        <w:tc>
          <w:tcPr>
            <w:gridSpan w:val="5"/>
            <w:tcMar>
              <w:top w:w="0" w:type="dxa"/>
              <w:left w:w="0" w:type="dxa"/>
              <w:bottom w:w="0" w:type="dxa"/>
              <w:right w:w="0" w:type="dxa"/>
            </w:tcMar>
          </w:tcPr>
          <w:tbl>
            <w:tblPr>
              <w:tblLayout w:type="fixed"/>
            </w:tblPr>
            <w:tblGrid>
              <w:gridCol w:w="3600"/>
              <w:gridCol w:w="3000"/>
              <w:gridCol w:w="4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21台州经济MTN001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22湖南建工01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22昆山国创PPN001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22徐州兴铜03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22宜兴公用01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23中原环保SCP001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r>
      <w:tr>
        <w:trPr>
          <w:trHeight w:hRule="exact" w:val="2400"/>
        </w:trPr>
        <w:tc>
          <w:tcPr>
     </w:tcPr>
          <w:p>
            <w:pPr>
              <w:pStyle w:val="EMPTY_CELL_STYLE"/>
            </w:pPr>
          </w:p>
        </w:tc>
        <w:tc>
          <w:tcPr>
            <w:gridSpan w:val="5"/>
            <w:tcMar>
              <w:top w:w="0" w:type="dxa"/>
              <w:left w:w="0" w:type="dxa"/>
              <w:bottom w:w="0" w:type="dxa"/>
              <w:right w:w="0" w:type="dxa"/>
            </w:tcMar>
          </w:tcPr>
          <w:tbl>
            <w:tblPr>
              <w:tblLayout w:type="fixed"/>
            </w:tblPr>
            <w:tblGrid>
              <w:gridCol w:w="2800"/>
              <w:gridCol w:w="2200"/>
              <w:gridCol w:w="2200"/>
              <w:gridCol w:w="35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兴银理财增盈稳享封闭式39号固收类理财产品</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15.08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兴银理财增盈稳享封闭式39号固收类理财产品</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13.91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销售服务费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兴业期货-兴合4号集合资产管理计划</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0.74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管理费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兴业期货有限公司</w:t>
                        </w:r>
                      </w:p>
                    </w:tc>
                  </w:tr>
                </w:tbl>
                <w:p>
                  <w:pPr>
                    <w:pStyle w:val="EMPTY_CELL_STYLE"/>
                  </w:pPr>
                </w:p>
              </w:tc>
            </w:tr>
          </w:tbl>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r>
      <w:tr>
        <w:trPr>
          <w:trHeight w:hRule="exact" w:val="5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3300"/>
        <w:gridCol w:w="4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兴银理财增盈稳享封闭式39号固收类理财产品2023年半年度报告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5"/>
            <w:tcMar>
              <w:top w:w="0" w:type="dxa"/>
              <w:left w:w="0" w:type="dxa"/>
              <w:bottom w:w="0" w:type="dxa"/>
              <w:right w:w="0" w:type="dxa"/>
            </w:tcMar>
          </w:tcPr>
          <w:tbl>
            <w:tblPr>
              <w:tblLayout w:type="fixed"/>
            </w:tblPr>
            <w:tblGrid>
              <w:gridCol w:w="2800"/>
              <w:gridCol w:w="2200"/>
              <w:gridCol w:w="2200"/>
              <w:gridCol w:w="35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5"/>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051010100101456981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兴银理财增盈稳享封闭式39号固收类理财产品</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top"/>
          </w:tcPr>
          <w:p>
            <w:pPr>
              <w:ind/>
              <w:jc w:val="right"/>
            </w:pPr>
            <w:r>
              <w:rPr>
                <w:rFonts w:ascii="宋体" w:hAnsi="宋体" w:eastAsia="宋体" w:cs="宋体"/>
                <w:color w:val="000000"/>
                <w:sz w:val="21"/>
              </w:rPr>
              <w:t xml:space="preserve">2023年9月22日</w:t>
            </w:r>
          </w:p>
        </w:tc>
        <w:tc>
          <w:tcPr>
     </w:tcPr>
          <w:p>
            <w:pPr>
              <w:pStyle w:val="EMPTY_CELL_STYLE"/>
            </w:pPr>
          </w:p>
        </w:tc>
        <w:tc>
          <w:tcPr>
     </w:tcPr>
          <w:p>
            <w:pPr>
              <w:pStyle w:val="EMPTY_CELL_STYLE"/>
            </w:pPr>
          </w:p>
        </w:tc>
      </w:tr>
      <w:tr>
        <w:trPr>
          <w:trHeight w:hRule="exact" w:val="10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