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兴银理财增盈稳享封闭式20号固收类理财产品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1,945,911,522.06份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4.95%/4.95%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产品9K240200自成立日以来，累计净值增长率为2.6640%，年化累计净值增长率为2.6567%。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1.02664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1,997,752,345.91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+5%以内权益的固收类产品。二季度产品运行较为稳健，目前随着债券价格的反弹，产品收益较为稳定。组合在债券调整前的债券久期达到1.8年，杠杆150%。展望后市，目前市场仍然处于复苏的初期。利率反映了短期内经济回暖节奏偏慢。产品配置角度上，债券以2年高收益信用债为主，权益择机进行操作，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204,402,419.23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190,544,088.11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青租16A2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145,034,543.35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92,984,495.78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85,567,468.15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73,938,320.00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61,157,200.27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51,819,901.85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50,583,090.63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50,013,479.45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20锡公用MTN001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22兴蓉环境MTN001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23邵阳城投CP001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23生态城投CP001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