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兴银理财丰利逸动6个月最短持有期日开1号增强型固收类理财产品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兴银理财丰利逸动6个月最短持有期日开1号增强型固收类理财产品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9K706010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Z7002022000558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6,621,857,442.07份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9K70601A：2.75%--4.25%/--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丰利逸动6M最短持有1A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9K70601A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6,621,857,442.07</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产品9K70601A自成立日以来，累计净值增长率为4.3070%，年化累计净值增长率为6.7182%。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6,907,070,591.03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6,907,070,591.03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久期适当拉长至1年左右。此外对权益资产进行积极调整行业结构。本组合净值在本报告期内相对表现较好。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288,433,111.27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242,166,794.74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永赢开泰中高等级中短债债券型证券投资基金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236,693,235.81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235,762,485.80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220,295,696.29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192,196,362.48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广发景明中短债债券型证券投资基金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170,167,409.72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23国债01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158,533,492.74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国投瑞银中高等级债券型证券投资基金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140,648,022.94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130,652,705.90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23南京生物ABN001优先(科创票据)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兴银理财丰利逸动6个月最短持有期日开1号增强型固收类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兴业短债债券型证券投资基金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兴业裕恒债券型证券投资基金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兴银理财丰利逸动6个月最短持有期日开1号增强型固收类</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兴业期货-兴星睿选管理人中管理人（MOM）2号集合资产管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兴银理财丰利逸动6个月最短持有期日开1号增强型固收类理财产品2023年半年度报告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兴银理财丰利逸动6个月最短持有期日开1号增强型固收类理财产品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