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兴银理财丰利兴动多策略封闭式12号增强型固收类理财产品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兴银理财丰利兴动多策略封闭式12号增强型固收类理财产品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9K766120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Z7002022000801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299,461,223.16份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未敲出：年化【0.01%-0.15%】/敲出：年化【4.85%-5.15%】/--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产品9K766120自成立日以来，累计净值增长率为0.3190%，年化累计净值增长率为0.8200%。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1.00319</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1.00319</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300,417,441.98</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孙新华，清华大学计算机系本科、硕士，金融领域从业8年。历任华创证券资产管理部投资经理、投资经理助理、通联数据量化研究员。2020年11月加入兴银理财，任多资产投资部投资经理。投资理念偏向系统化投资，运用量化投资方法寻求绝对收益。  </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该产品的场外期权买入以来，挂钩标的中证1000指数经历了一波调整，随后进入震荡区间，究其原因是经济数据趋于平淡、权益市场做多情绪已得到较充分释放。由于中证1000指数价格处于敲出观察价下方，因此期权价值一直处于低收益状态。而本产品的生息资产部分坚持稳健生息策略，对于利率敞口暴露及其有限，因此生息资产的表现依然相对稳健。展望未来一段时间，从股债性价比角度，股权溢价率已经达到负两倍标准差附近，处于极低区间，标志着权益市场极具性价比，预计下半年有望回到期初价格以上，实现较好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24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21,197,100.73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17,555,364.09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17,250,140.80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兴银理财丰利兴动多策略封闭式12号增强型固收类理财产品2023年半年度报告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17,250,140.80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14,147,798.86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14,127,862.08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14,046,764.35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10,600,947.34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永诚永兴分红1号持有定期存款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10,539,710.27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建信保险资管安鑫21号持有定期存款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8,625,070.40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兴银理财丰利兴动多策略封闭式12号增强型固收类理财产品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兴银理财丰利兴动多策略封闭式12号增强型固收类理财产品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051010100101511471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兴银理财丰利兴动多策略封闭式12号增强型固收类理财产品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