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兴银理财稳添利季盈1号(3个月最短持有期)日开固收类理财产品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兴银理财稳添利季盈1号(3个月最短持有期)日开固收类理财产品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15,412,794,759.74份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66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9K91031A：2.90%--4.00%/--</w:t>
              <w:br/>
              <w:t xml:space="preserve">  9K91031B：2.80%--3.90%/--</w:t>
              <w:br/>
              <w:t xml:space="preserve">  9K91031C：2.85%--3.95%/--</w:t>
              <w:br/>
              <w:t xml:space="preserve">  9K91031D：2.80%--3.90%/--</w:t>
              <w:br/>
              <w:t xml:space="preserve">  9K91031E：2.90%--4.00%/--</w:t>
              <w:br/>
              <w:t xml:space="preserve">  9K91031F：2.65%--3.75%/--</w:t>
              <w:br/>
              <w:t xml:space="preserve">  9K91031G：2.65%--3.75%/--</w:t>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13,048,687,873.37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2,109,114,979.94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84,609,326.46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41,354,045.24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122,207,795.06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6,810,521.73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兴银稳添利季盈1号G</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10,217.94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产品9K91031A自成立日以来，累计净值增长率为3.7630%，年化累计净值增长率为2.8378%。</w:t>
              <w:br/>
              <w:t xml:space="preserve">产品9K91031B自成立日以来，累计净值增长率为3.5040%，年化累计净值增长率为2.7387%。</w:t>
              <w:br/>
              <w:t xml:space="preserve">产品9K91031C自成立日以来，累计净值增长率为3.5640%，年化累计净值增长率为2.7856%。</w:t>
              <w:br/>
              <w:t xml:space="preserve">产品9K91031D自成立日以来，累计净值增长率为2.7038%，年化累计净值增长率为2.5305%。</w:t>
              <w:br/>
              <w:t xml:space="preserve">产品9K91031E自成立日以来，累计净值增长率为2.4860%，年化累计净值增长率为2.6074%。</w:t>
              <w:br/>
              <w:t xml:space="preserve">产品9K91031F自成立日以来，累计净值增长率为0.4400%，年化累计净值增长率为2.7690%。</w:t>
              <w:br/>
              <w:t xml:space="preserve">产品9K91031G自成立日以来，累计净值增长率为0.3040%，年化累计净值增长率为2.5805%。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15,985,302,293.55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13,539,705,039.71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2,183,023,582.86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87,625,001.40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42,852,655.89</w:t>
                        </w: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125,245,292.37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6,840,472.30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4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579,246,016.85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532,162,541.19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520,703,636.50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520,703,636.46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520,405,410.59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507,437,267.12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497,382,897.12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247,091,694.42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22三门峡MTN001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23长江出版CP001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23金华金投SCP001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23临港控股SCP003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23临桂城投SCP001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兴银理财稳添利季盈1号(3个月最短持有期)日开固收类理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兴银理财稳添利季盈1号(3个月最短持有期)日开固收类理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20金禹01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兴银理财稳添利季盈1号3个月最短持有期日开固收类理财产品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