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兴银理财稳添利陆盈1号(6个月最短持有期)日开固收类理财产品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兴银理财稳添利陆盈1号(6个月最短持有期)日开固收类理财产品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11,356,073,506.5份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42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9K91041A：3.00%--4.00%/--</w:t>
              <w:br/>
              <w:t xml:space="preserve">  9K91041B：3.00%--4.00%/--</w:t>
              <w:br/>
              <w:t xml:space="preserve">  9K91041C：3.05%--4.05%/--</w:t>
              <w:br/>
              <w:t xml:space="preserve">  9K91041D：2.95%--3.95%/--</w:t>
              <w:br/>
              <w:t xml:space="preserve">  9K91041F：2.85%--3.85%/--</w:t>
              <w:br/>
              <w:t xml:space="preserve">  9K91041S：3.10%--4.10%/--</w:t>
            </w: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6,691,680,769.38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622,522,475.85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2,328,318.93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2,193,312,280.01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兴银稳添利陆盈1号E（财富赢尊享）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9K91041S</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1,846,229,062.33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产品9K91041A自成立日以来，累计净值增长率为3.8070%，年化累计净值增长率为2.8710%。</w:t>
              <w:br/>
              <w:t xml:space="preserve">产品9K91041B自成立日以来，累计净值增长率为3.5600%，年化累计净值增长率为2.7884%。</w:t>
              <w:br/>
              <w:t xml:space="preserve">产品9K91041C自成立日以来，累计净值增长率为3.4120%，年化累计净值增长率为2.8112%。</w:t>
              <w:br/>
              <w:t xml:space="preserve">产品9K91041D自成立日以来，累计净值增长率为1.5790%，年化累计净值增长率为2.3717%。</w:t>
              <w:br/>
              <w:t xml:space="preserve">产品9K91041F自成立日以来，累计净值增长率为0.9350%，年化累计净值增长率为3.6306%。</w:t>
              <w:br/>
              <w:t xml:space="preserve">产品9K91041S自成立日以来，累计净值增长率为1.6760%，年化累计净值增长率为2.5174%。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11,698,688,834.22</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6,946,463,114.54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644,685,971.48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2,407,766.46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2,227,955,482.11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9K91041S</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1,877,175,894.02</w:t>
                        </w:r>
                      </w:p>
                    </w:tc>
                  </w:tr>
                </w:tbl>
                <w:p>
                  <w:pPr>
                    <w:pStyle w:val="EMPTY_CELL_STYLE"/>
                  </w:pPr>
                </w:p>
              </w:tc>
            </w:tr>
          </w:tbl>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734,566,359.45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542,810,910.93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516,670,377.86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476,991,031.10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352,850,634.05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301,625,662.08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204,064,093.15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193,335,377.12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155,518,017.28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141,944,816.95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22城发投资PPN001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兴银理财稳添利陆盈1号(6个月最短持有期)日开固收类理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兴银理财稳添利陆盈1号(6个月最短持有期)日开固收类理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051010100101370088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兴银理财稳添利陆盈1号6个月最短持有期日开固收类理财产品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