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兴银理财灵动全天候35号净值型理财产品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兴银理财灵动全天候35号净值型理财产品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Z7002021000024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51,840,377.66份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9K212185：3.00%--6.50%/6.50%</w:t>
              <w:br/>
              <w:t xml:space="preserve">  9K212285：3.00%--6.50%/6.50%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兴银灵动35号年年升A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18,399,985.48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兴银灵动35号年年升B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33,440,392.18</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产品9K212185自成立日以来，累计净值增长率为1.4690%，年化累计净值增长率为1.4073%。</w:t>
              <w:br/>
              <w:t xml:space="preserve">产品9K212285自成立日以来，累计净值增长率为1.5810%，年化累计净值增长率为1.5146%。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52,639,309.00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18,670,331.23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33,968,977.77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22中证04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4,623,254.45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20广晟MTN004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3,620,655.26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2,617,923.73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20华电租赁PPN002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2,596,270.75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2,589,410.10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20军民融合PPN001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2,586,398.94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2,577,426.40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2,570,017.91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2,021,981.68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景顺长城景颐双利C 000386.OF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1,994,740.30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051010100101171212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