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兴银理财灵动全天候38号净值型理财产品2023年半年度报告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兴银理财灵动全天候38号净值型理财产品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兴银理财灵动全天候38号净值型理财产品2023年半年度报告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兴银理财灵动全天候38号净值型理财产品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Z7002022000369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15,752,766.68份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9K212188：3.00%--6.50%/6.50%</w:t>
              <w:br/>
              <w:t xml:space="preserve">  9K212288：3.00%--6.50%/6.50%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8,973,791.01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6,778,975.67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兴银理财灵动全天候38号净值型理财产品2023年半年度报告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产品9K212188自成立日以来，累计净值增长率为1.5350%，年化累计净值增长率为1.7239%。</w:t>
              <w:br/>
              <w:t xml:space="preserve">产品9K212288自成立日以来，累计净值增长率为1.6230%，年化累计净值增长率为1.8228%。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16,000,547.46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9,111,556.17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6,888,991.29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仕盈，CFA/FRM，上海交大金融学博士，UIUC数学系访问学者，著有资产配置相关著作2部及核心期刊论文10余篇。现任兴银理财多资产投资部投资经理，有丰富的资产配置研究经验，擅长资产配置、FOF投资和衍生品投资。</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至今，宏观因子没有发生大的变化。经济复苏预期依然向好，但过程可能曲折。权益市场保持谨慎乐观，债市和权益有较强的中期负相关性，产品坚持以风险平价为中枢。上半年权益部分在主线不明确的情况下主要配置指数，债券则以票息策略为主。展望后市，货币环境大概率保持宽松，经济复苏节奏决定了股债相对强弱，但暂时没有看到股债双杀的基础。美联储加息已近尾声，全球风险偏好有所回暖。国内经济内生动能修复则有待更多政策出台。下半年密切关注重点板块，如TMT/新能源/新能车产业链，以及地产产业链的景气度情况，关注相关产业政策的出台和货币政策的走向。</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525,467.45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20青城04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521,244.79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21绵投01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514,767.12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16青建投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514,451.50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22南海产业MTN001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511,130.46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22鲁资07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511,049.39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22首钢01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510,094.65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22中建投资MTN003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509,433.67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508,535.99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508,303.00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16青建投</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20中兴新MTN001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051010100101451524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