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385,022,658.05份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产品9K212803自成立日以来，累计净值增长率为-3.1360%，年化累计净值增长率为-1.4398%。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0.96864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0.96864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372,948,857.89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展望来看，经济复苏偏弱已经被市场较为充分地定价，目前市场整体估值吸引力已经比较大，预计随着后续政策的托底和经济的持续修复，中期市场有望延续震荡上行趋势。整体来看，疫情三年来对居民资产负债表和企业家信心带来影响，恢复需要一个过程。而且国内经济正处于投资、负债拉动型向创新、消费转型的过渡阶段，转型期的阵痛必然存在。与财政、出口，地产等对经济的影响相比，消费对经济的拉动慢但持续，在房地产缺席的情况下仍需对经济复苏保持信心和耐心。往前看，短期重点关注估值已跌至历史低位的一些顺周期蓝筹，包括医药生物、机械设备和上游资源品等，以及科技板块的超跌反弹。中期保持对“中特+”及“数字经济+”两大主线的关注，在下跌的品种中寻找确定性和性价比；长期依然重点布局于20大指向的长期趋势。</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24,003,807.65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贵州茅台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17,028,915.11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23希望E1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9,096,510.32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安徽合力</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8,645,312.84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C山外山</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8,410,091.96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杭叉集团</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7,678,353.55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中环股份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6,948,484.43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雅迪控股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6,774,175.39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紫金矿业</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6,585,885.37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中国海洋石油</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6,523,770.52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