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兴银理财兴合汇中1号混合类净值型理财产品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兴银理财兴合汇中1号混合类净值型理财产品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695,516,725.11份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产品9K212804自成立日以来，累计净值增长率为-22.1420%，年化累计净值增长率为-10.9510%。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0.77858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0.77858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541,515,477.64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2季度根据投资策略在产品开放期做了一次仓位再平衡。后续会在每次季度开放期进行再平衡操作。合作专户方面，专户投资经理关注大消费领域复苏机会以及科技创新机会。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34,005,345.34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30,005,814.60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23希望E1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21,403,553.70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七星电子</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19,408,415.00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中芯国际</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15,958,920.61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爱尔眼科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15,415,810.55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贵州茅台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10,117,869.80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10,064,776.80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东方红稳添利纯债债券型发起式证券投资基金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10,058,027.08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兴银理财兴合汇中1号混合类净值型理财产品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兴银理财兴合汇中1号混合类净值型理财产品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