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兴业银行天天万利宝稳利5号净值型理财产品S款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兴业银行天天万利宝稳利5号净值型理财产品S款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3,851,968,656.85份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产品9K219061自成立日以来，累计净值增长率为13.5300%，年化累计净值增长率为3.6909%。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1.13530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1.13530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4,373,149,416.64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董国明先生，中国科学院研究生院理学硕士，2013年加入兴业银行，金融从业13年，曾在光大银行等机构任投资经理，现任兴银理财权益投资部副总经理。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判断：宏观经济偏弱复苏，政策偏稳增长，系统性风险概率较低。风险偏好较低，股市偏存量博弈，大概率结构性行情，且多数板块行情持续性不能给太高预期。2、应对：风险偏好或政策预期没有大幅变化前，仓位和结构都会波段操作，整体组合分为底仓和交易性仓位，交易性仓位增加止盈止损操作频率，交易逻辑综合考虑政策预期、景气度和资金筹码，在主线到来之前，通过积累小胜不断积累产品净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120,030,868.06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海富通中证短融交易型开放式指数证券投资基金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90,039,487.20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81,134,687.35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80,824,325.77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80,716,742.35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80,277,291.73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80,237,027.29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80,059,853.12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79,998,434.98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富国产业债债券型证券投资基金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79,392,347.71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兴业银行天天万利宝稳利5号净值型理财产品S款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兴业医疗保健混合型证券投资基金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兴业研究精选混合型证券投资基金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兴业银行天天万利宝稳利5号净值型理财产品S款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051010100100901018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兴业理财托管专户天天万利宝稳利5号S款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