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686,749,215.38份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产品9K219062自成立日以来，累计净值增长率为12.8260%，年化累计净值增长率为3.7693%。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1.12826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740,491,463.19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判断：宏观经济偏弱复苏，政策偏稳增长，系统性风险概率较低。风险偏好较低，股市偏存量博弈，大概率结构性行情，且多数板块行情持续性不能给太高预期。2、应对：风险偏好或政策预期没有大幅变化前，仓位和结构都会波段操作，整体组合分为底仓和交易性仓位，交易性仓位增加止盈止损操作频率，交易逻辑综合考虑政策预期、景气度和资金筹码，在主线到来之前，通过积累小胜不断积累产品净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30,606,131.98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20,456,139.94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20,452,851.55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20,431,627.55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20,430,878.39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20,394,624.51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20,363,638.15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20,361,622.34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20,351,114.09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20,312,174.72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兴业银行天天万利宝稳利5号净值型理财产品T款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兴业医疗保健混合型证券投资基金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兴业银行天天万利宝稳利5号净值型理财产品T款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