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兴业银行天天万利宝稳利6号净值型理财产品C款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兴业银行天天万利宝稳利6号净值型理财产品C款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14,366,559,799.24份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9K219173：-/--</w:t>
              <w:br/>
              <w:t xml:space="preserve">  9K219273：-/--</w:t>
              <w:br/>
              <w:t xml:space="preserve">  9K219373：3.30%--4.30%/--</w:t>
              <w:br/>
              <w:t xml:space="preserve">  9K219473：-/--</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月月盈B款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3,123,579,480.36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月月盈B款(代发工资专属)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1,354,214,746.18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金雪球稳利月月盈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121,952,436.60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月月盈B款（增强）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9K219473</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9,766,813,136.10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产品9K219173自成立日以来，累计净值增长率为9.1030%，年化累计净值增长率为3.2165%。</w:t>
              <w:br/>
              <w:t xml:space="preserve">产品9K219273自成立日以来，累计净值增长率为9.5180%，年化累计净值增长率为3.3631%。</w:t>
              <w:br/>
              <w:t xml:space="preserve">产品9K219373自成立日以来，累计净值增长率为9.0330%，年化累计净值增长率为3.3270%。</w:t>
              <w:br/>
              <w:t xml:space="preserve">产品9K219473自成立日以来，累计净值增长率为7.4320%，年化累计净值增长率为3.3001%。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15,516,697,701.75</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1.09103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3,407,904,042.14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1,483,104,166.04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132,968,205.20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9K219473</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1.07432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10,492,721,288.37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优异。对宏观及利率走势有深入的研究，注重各类资产风险收益比，善于利用各类策略获取超额收益。</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1,106,280,986.30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1,050,837,986.44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工商银行江门分行大额存单02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521,619,038.22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徽商银行宁波分行大额存单01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517,461,058.24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510,070,321.92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507,057,650.62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402,167,549.44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377,518,572.33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338,721,854.35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338,721,854.35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兴业银行天天万利宝稳利6号净值型理财产品C款2023年半年度报告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兴业银行天天万利宝稳利6号净值型理财产品C款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兴业银行天天万利宝稳利6号净值型理财产品C款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051010100100916581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兴业理财托管专户天天万利宝稳利6号C款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