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4,801,072,842.66份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9K219174：-/--</w:t>
              <w:br/>
              <w:t xml:space="preserve">  9K219274：-/--</w:t>
              <w:br/>
              <w:t xml:space="preserve">  9K219374：-/--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908,183,170.04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524,278,567.34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3,368,611,105.28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产品9K219174自成立日以来，累计净值增长率为9.1370%，年化累计净值增长率为3.2285%。</w:t>
              <w:br/>
              <w:t xml:space="preserve">产品9K219274自成立日以来，累计净值增长率为9.5670%，年化累计净值增长率为3.3804%。</w:t>
              <w:br/>
              <w:t xml:space="preserve">产品9K219374自成立日以来，累计净值增长率为7.1170%，年化累计净值增长率为3.2150%。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5,173,954,333.96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991,168,063.85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574,438,880.54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3,608,347,389.57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   </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539,052,361.00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150,067,405.70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110,040,484.52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99,548,829.05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98,202,722.95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98,169,813.11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98,153,211.48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23农业银行CD117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97,855,550.82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72,441,687.18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23鄂交通SCP001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兴业银行天天万利宝稳利6号净值型理财产品D款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兴业银行天天万利宝稳利6号净值型理财产品D款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