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657,728,510.74份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产品9K220008自成立日以来，累计净值增长率为1.6830%，年化累计净值增长率为0.6339%。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0.99683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655,643,441.06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40,847,237.16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20,186,290.16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20,005,140.80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富国新动力C 001510.OF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18,133,495.01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中欧养老产业混合型证券投资基金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16,834,004.36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银华鑫盛灵活C 014048.OF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13,873,166.10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大成睿享混合型证券投资基金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12,975,919.37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华泰柏瑞富利C 014597.OF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12,195,969.35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12,002,580.82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12,001,895.42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兴业研究精选混合型证券投资基金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