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兴银理财增盈优选21号净值型理财产品2023年半年度报告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兴银理财增盈优选21号净值型理财产品</w:t>
              <w:br/>
              <w:t xml:space="preserve">2023年半年度报告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报告送出日期：2023年9月22日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兴银理财增盈优选21号净值型理财产品2023年半年度报告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740"/>
        <w:gridCol w:w="1260"/>
        <w:gridCol w:w="2000"/>
        <w:gridCol w:w="3300"/>
        <w:gridCol w:w="2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兴银理财增盈优选21号净值型理财产品2023年半年度报告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兴银理财增盈优选21号净值型理财产品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9K220021</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Z7002021000089</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89,527,020.62份</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R3</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业绩比较基准¹/业绩报酬计提基准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9K220121：3.80%--5.20%/5.20%</w:t>
              <w:br/>
              <w:t xml:space="preserve">  9K220221：3.80%--5.20%/5.20%</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增盈优选21号A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9K220121</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76,823,781.72</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增盈优选21号B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9K220221</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12,703,238.90</w:t>
                        </w:r>
                      </w:p>
                    </w:tc>
                  </w:tr>
                </w:tbl>
                <w:p>
                  <w:pPr>
                    <w:pStyle w:val="EMPTY_CELL_STYLE"/>
                  </w:pPr>
                </w:p>
              </w:tc>
            </w:tr>
          </w:tbl>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兴银理财增盈优选21号净值型理财产品2023年半年度报告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7"/>
            <w:tcMar>
              <w:top w:w="0" w:type="dxa"/>
              <w:left w:w="0" w:type="dxa"/>
              <w:bottom w:w="0" w:type="dxa"/>
              <w:right w:w="0" w:type="dxa"/>
            </w:tcMar>
            <w:vAlign w:val="top"/>
          </w:tcPr>
          <w:p>
            <w:pPr>
              <w:ind/>
            </w:pPr>
            <w:r>
              <w:rPr>
                <w:rFonts w:ascii="宋体" w:hAnsi="宋体" w:eastAsia="宋体" w:cs="宋体"/>
                <w:color w:val="000000"/>
                <w:sz w:val="16"/>
              </w:rPr>
              <w:t xml:space="preserve">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tcPr>
          <w:p>
            <w:pPr>
              <w:pStyle w:val="EMPTY_CELL_STYLE"/>
            </w:pPr>
          </w:p>
        </w:tc>
        <w:tc>
          <w:tcPr>
     </w:tcPr>
          <w:p>
            <w:pPr>
              <w:pStyle w:val="EMPTY_CELL_STYLE"/>
            </w:pPr>
          </w:p>
        </w:tc>
      </w:tr>
      <w:tr>
        <w:trPr>
          <w:trHeight w:hRule="exact" w:val="8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产品9K220121自成立日以来，累计净值增长率为4.9490%，年化累计净值增长率为2.3368%。</w:t>
              <w:br/>
              <w:t xml:space="preserve">产品9K220221自成立日以来，累计净值增长率为5.1870%，年化累计净值增长率为2.4492%。</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9K220021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1.04983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1.04983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93,988,074.95</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9K220121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1.04949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1.04949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80,625,923.79</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9K220221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1.05187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1.05187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13,362,151.16</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薛纪晔先生，香港中文大学管理学博士，清华大学数学系硕士和本科，5年资产管理和衍生品研究经验。2018年加入兴业银行资产管理部担任投资经理。曾任中国金融期货交易所金融期货博士后研究员，在衍生品投资研究方面具有丰富经验。</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本产品目前债券久期2年，配置了7个点的权益和30%的非标资产。二季度权益仓位未做大的调整，基本逢低买入宽基指数，逢高卖出。债券部分二季度操作较为积极，平均杠杆110%，平均久期0.7。同展望下一阶段，对股票谨慎乐观，目前仍然处于复苏的初期，居民整体的资产负债表修复需要时间，这个可能需要1-2个季度来完成。</w:t>
            </w:r>
          </w:p>
        </w:tc>
        <w:tc>
          <w:tcPr>
     </w:tcPr>
          <w:p>
            <w:pPr>
              <w:pStyle w:val="EMPTY_CELL_STYLE"/>
            </w:pP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c>
          <w:tcPr>
     </w:tcPr>
          <w:p>
            <w:pPr>
              <w:pStyle w:val="EMPTY_CELL_STYLE"/>
            </w:pPr>
          </w:p>
        </w:tc>
      </w:tr>
      <w:tr>
        <w:trPr>
          <w:trHeight w:hRule="exact" w:val="1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兴银理财增盈优选21号净值型理财产品2023年半年度报告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19.42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19.42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权益类投资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66.40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67.23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4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兴银理财增盈优选21号净值型理财产品2023年半年度报告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136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br/>
            </w: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20珠华01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5,159,435.89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21科投01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5,149,696.37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21紫江MTN001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5,147,351.44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22九江城投PPN001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5,096,030.82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22CSFD132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5,087,197.26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22苏州高新SCP031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5,061,070.75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景顺长城四季金利债券型证券投资基金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5,016,360.57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光大保德信增利收益债券型证券投资基金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4,999,000.00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华夏鼎茂债券型证券投资基金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4,997,901.64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23肥西城乡MTN001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4,007,853.14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4.26</w:t>
                        </w:r>
                      </w:p>
                    </w:tc>
                  </w:tr>
                </w:tbl>
                <w:p>
                  <w:pPr>
                    <w:pStyle w:val="EMPTY_CELL_STYLE"/>
                  </w:pPr>
                </w:p>
              </w:tc>
            </w:tr>
          </w:tbl>
          <w:p>
            <w:pPr>
              <w:pStyle w:val="EMPTY_CELL_STYLE"/>
            </w:pPr>
          </w:p>
        </w:tc>
        <w:tc>
          <w:tcPr>
     </w:tcPr>
          <w:p>
            <w:pPr>
              <w:pStyle w:val="EMPTY_CELL_STYLE"/>
            </w:pPr>
          </w:p>
        </w:tc>
      </w:tr>
      <w:tr>
        <w:trPr>
          <w:trHeight w:hRule="exact" w:val="56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兴银理财增盈优选21号净值型理财产品2023年半年度报告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42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21弘湘国投MTN001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22海立MTN001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22九江城投PPN001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22特变电工MTN001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23肥西城乡MTN001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23湖北联投03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兴银理财增盈优选21号净值型理财产品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11.51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兴银理财增盈优选21号净值型理财产品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80.87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销售服务费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051010100101194802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兴银理财增盈优选21号净值型理财产品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2023年9月22日</w:t>
            </w:r>
          </w:p>
        </w:tc>
        <w:tc>
          <w:tcPr>
     </w:tcPr>
          <w:p>
            <w:pPr>
              <w:pStyle w:val="EMPTY_CELL_STYLE"/>
            </w:pPr>
          </w:p>
        </w:tc>
        <w:tc>
          <w:tcPr>
     </w:tcPr>
          <w:p>
            <w:pPr>
              <w:pStyle w:val="EMPTY_CELL_STYLE"/>
            </w:pPr>
          </w:p>
        </w:tc>
      </w:tr>
      <w:tr>
        <w:trPr>
          <w:trHeight w:hRule="exact" w:val="18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