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兴银理财灵动全天候5号净值型理财产品2023年半年度报告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兴银理财灵动全天候5号净值型理财产品</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兴银理财灵动全天候5号净值型理财产品2023年半年度报告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兴银理财灵动全天候5号净值型理财产品2023年半年度报告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兴银理财灵动全天候5号净值型理财产品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9K212055</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Z7002020000193</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105,970,197.53份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9K212155：2.00%--6.00%/6.00%</w:t>
              <w:br/>
              <w:t xml:space="preserve">  9K212255：2.00%--6.00%/6.00%</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灵动5号陆陆通A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9K212155</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79,487,666.85</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灵动5号陆陆通B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9K212255</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26,482,530.68</w:t>
                        </w:r>
                      </w:p>
                    </w:tc>
                  </w:tr>
                </w:tbl>
                <w:p>
                  <w:pPr>
                    <w:pStyle w:val="EMPTY_CELL_STYLE"/>
                  </w:pPr>
                </w:p>
              </w:tc>
            </w:tr>
          </w:tbl>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兴银理财灵动全天候5号净值型理财产品2023年半年度报告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产品9K212155自成立日以来，累计净值增长率为7.0590%，年化累计净值增长率为2.7207%。</w:t>
              <w:br/>
              <w:t xml:space="preserve">产品9K212255自成立日以来，累计净值增长率为7.3350%，年化累计净值增长率为2.8271%。</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9K212055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1.07128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1.07128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113,523,620.62</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9K212155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1.07059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1.07059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85,098,640.29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9K212255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1.07335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1.07335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28,424,980.33</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薛纪晔先生，香港中文大学管理学博士，清华大学数学系硕士和本科，5年资产管理和衍生品研究经验。2018年加入兴业银行资产管理部担任投资经理。曾任中国金融期货交易所金融期货博士后研究员，在衍生品投资研究方面具有丰富经验。</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本产品为股债混产品，权益中枢维持在2%。二季度权益仓位未做大的调整，基本逢低买入宽基指数，逢高卖出。目前仓位在1%。债券部分二季度操作较为积极，平均杠杆110%，平均久期0.7。同展望下一阶段，对股票谨慎乐观，目前仍然处于复苏的初期，居民整体的资产负债表修复需要时间，这个可能需要1-2个季度来完成。产品七月初打开，后续会继续坚持股债平价策略。</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c>
          <w:tcPr>
     </w:tcPr>
          <w:p>
            <w:pPr>
              <w:pStyle w:val="EMPTY_CELL_STYLE"/>
            </w:pPr>
          </w:p>
        </w:tc>
      </w:tr>
      <w:tr>
        <w:trPr>
          <w:trHeight w:hRule="exact" w:val="12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兴银理财灵动全天候5号净值型理财产品2023年半年度报告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14.54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同业存单</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金融衍生品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78.37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78.37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194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兴银理财灵动全天候5号净值型理财产品2023年半年度报告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136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20路桥02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7,187,072.60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21光证G1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7,156,931.47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16广晟02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6,409,220.55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21靖城01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5,202,450.14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21太新02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5,104,066.92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景顺长城景泰纯利债券型证券投资基金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5,092,460.15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20蚌埠城投MTN001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4,142,862.79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20宁现01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4,134,739.95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19常德城投MTN001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4,095,366.99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22阜控D3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4,073,477.42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3.59</w:t>
                        </w:r>
                      </w:p>
                    </w:tc>
                  </w:tr>
                </w:tbl>
                <w:p>
                  <w:pPr>
                    <w:pStyle w:val="EMPTY_CELL_STYLE"/>
                  </w:pPr>
                </w:p>
              </w:tc>
            </w:tr>
          </w:tbl>
          <w:p>
            <w:pPr>
              <w:pStyle w:val="EMPTY_CELL_STYLE"/>
            </w:pPr>
          </w:p>
        </w:tc>
        <w:tc>
          <w:tcPr>
     </w:tcPr>
          <w:p>
            <w:pPr>
              <w:pStyle w:val="EMPTY_CELL_STYLE"/>
            </w:pPr>
          </w:p>
        </w:tc>
      </w:tr>
      <w:tr>
        <w:trPr>
          <w:trHeight w:hRule="exact" w:val="56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兴银理财灵动全天候5号净值型理财产品2023年半年度报告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2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21淮安城资MTN001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21淮安水利PPN001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21柯桥国资MTN001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21鲁能源MTN007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22福建旅游MTN001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22特变电工MTN001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兴银理财灵动全天候5号净值型理财产品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兴银理财灵动全天候5号净值型理财产品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兴业期货-兴合3号集合资产管理计划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051010100101115939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兴银理财灵动全天候5号净值型理财产品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c>
          <w:tcPr>
     </w:tcPr>
          <w:p>
            <w:pPr>
              <w:pStyle w:val="EMPTY_CELL_STYLE"/>
            </w:pPr>
          </w:p>
        </w:tc>
      </w:tr>
      <w:tr>
        <w:trPr>
          <w:trHeight w:hRule="exact" w:val="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