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兴银理财ESG悦动7号净值型理财产品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兴银理财ESG悦动7号净值型理财产品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Z7002022000038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240,622,127.88份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9K22016A：3.10%--4.10%/4.10%</w:t>
              <w:br/>
              <w:t xml:space="preserve">  9K22016B：3.10%--4.10%/4.10%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135,738,601.19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104,883,526.69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产品9K22016A自成立日以来，累计净值增长率为4.9270%，年化累计净值增长率为3.6478%。</w:t>
              <w:br/>
              <w:t xml:space="preserve">产品9K22016B自成立日以来，累计净值增长率为4.8640%，年化累计净值增长率为3.6011%。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252,411,931.62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142,426,732.31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109,985,199.31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果经济略有恢复，对市场将会是上涨期权，核心是资本市场和民营企业信心回来，价值和核心资产与科技成长都存在机会。</w:t>
              <w:br/>
              <w:t xml:space="preserve">二、组合策略。</w:t>
              <w:br/>
              <w:t xml:space="preserve">    悦动7号目前维持久期0.5-1.5年；衍生品套利策略不高于5%的比例，2023年整体经济将处于弱复苏阶段，债券处于震荡市，结构上，增加中短高票息信用品种，增加组合的流动性，让组合进可攻，退可守，并择机博弈市场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粤财信托·瑞兴51号集合资金信托计划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47,091,501.90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40,042,376.39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28,023,744.31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21绿城房产MTN002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11,214,834.67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22美的置业MTN001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11,164,762.22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10,317,650.96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10,234,713.43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21豫园01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10,061,759.24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8,088,657.18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7,404,757.55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22宜春发展PPN001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23汾西矿业01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兴银理财ESG悦动7号净值型理财产品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