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兴银理财ESG悦动11号净值型理财产品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兴银理财ESG悦动11号净值型理财产品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Z7002022000042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31,023,210.75份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9K22020A：3.50%--3.70%/3.70%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悦动（纯享款）封闭式</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31,023,210.75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产品9K22020A自成立日以来，累计净值增长率为2.2090%，年化累计净值增长率为4.2436%。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31,708,492.30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31,708,492.30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全年发生了很多超预期的宏观利空事件，如俄乌战争、疫情反复、美联储超预期加息、地产持续暴雷等，对于投资的考验较大。本报告期内，本组合积极调整债券持仓，利用利率衍生品对冲久期风险等操作。展望今年，预期未来债券市场偏震荡，本组合净值在本报告期内相对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6,130,155.24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6,051,732.00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2,000,493.16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1,559,145.82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1,554,872.64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1,554,833.33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1,551,236.79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1,546,494.10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1,545,781.58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1,544,960.41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051010100101348888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