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兴银理财ESG悦动13号净值型理财产品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兴银理财ESG悦动13号净值型理财产品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1,931,485,105.11份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9K22022A：2.80%--4.40%/--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悦动稳享13号A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1,931,485,105.11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产品9K22022A自成立日以来，累计净值增长率为1.4910%，年化累计净值增长率为2.3158%。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1,960,291,824.76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1,960,291,824.76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120%固收+2%以内套保策略+2%转债策略。产品目前久期1.2年，杠杆120%。一季度产品运行较为稳健，目前随着债券价格的反弹，产品收益较为稳定。产品在二季度继续配入一些高息货币资产逐步降低组合久期，目前对持仓没有做大的调整。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172,053,014.54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131,073,869.38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52,106,282.88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23鲁国资MTN001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23海螺创业GN001BC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49,750,074.04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41,608,006.97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20海盐国资PPN001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41,448,078.36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41,100,637.26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40,872,917.26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40,869,958.36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22宁德时代GN001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22青岛城阳SCP003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23海螺创业GN001BC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23华光环保SCP004(转型碳资产)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23台商02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