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1,044,850,411.09份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产品9K221003自成立日以来，累计净值增长率为-3.9250%，年化累计净值增长率为-1.7157%。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0.96075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0.96075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1,003,843,593.34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11年，曾在中国金融期货交易所工作，是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指数整体处于震荡行情，一季度在经济强复苏的预期下有一波上涨，二季度由于经济实际运行数据呈现出经济弱复苏迹象低于预期有所回调。近期李强总理主持召开经济形势专家会，认为我国经济呈回升向好的态势，提出要打好政策“组合拳”，进一步提升信心和稳定预期，因此预计今年下半年会陆续出台提振经济的相关政策，结合目前整体经济的复苏形势，下半年的经济整体表现会好于上半年。并且指数成分股中“专精特新”企业较多，具有较好的成长性。预计今年下半年指数的表现会好于二季度</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银华日利A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23,530,379.61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20,509,965.30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汇添富双颐债券A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9,987,384.33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汇添富双鑫添利债券A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7,573,171.80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华贸物流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7,155,318.92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迦南科技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3,960,911.36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光电股份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3,746,779.16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华微电子</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3,497,754.71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北矿科技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3,465,553.05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天箭科技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3,447,474.18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