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196,039,547.86份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产品9K221008自成立日以来，累计净值增长率为5.1620%，年化累计净值增长率为2.9907%。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1.03389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1.05162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202,683,791.18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可转债投资方面，继续发挥管理人在细分资产领域的专业优势，为客户创造更多收益。</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宁波太平鸟时尚服饰股份有限公司公开发行可转换公司债券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8,657,723.32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广东拓斯达科技股份有限公司向不特定对象发行可转换公司债券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7,366,819.12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2018年海澜之家股份有限公司可转换公司债券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6,600,114.54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闻泰科技股份有限公司公开发行可转换公司债券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6,484,183.05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温氏食品集团股份有限公司向不特定对象发行可转换公司债券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6,227,021.21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5,078,234.79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5,064,017.15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5,061,886.41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5,042,876.35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5,029,984.60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