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兴银理财增盈优选25号净值型理财产品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兴银理财增盈优选25号净值型理财产品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9K221025</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Z7002021000116</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1,580,544,379.33份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9K221125：4.40%--6.00%/4.40%</w:t>
              <w:br/>
              <w:t xml:space="preserve">  9K221225：4.40%--6.00%/4.40%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增盈优选25号A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9K221125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1,288,066,768.58</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增盈优选25号B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9K221225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292,477,610.75</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产品9K221125自成立日以来，累计净值增长率为5.9090%，年化累计净值增长率为2.9586%。</w:t>
              <w:br/>
              <w:t xml:space="preserve">产品9K221225自成立日以来，累计净值增长率为6.1510%，年化累计净值增长率为3.0797%。</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1,674,644,149.42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9K221125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1,364,175,734.37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9K221225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310,468,415.05</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胡艳婷女士，英国约克大学经济学硕士（数理方向）。具有10年金融行业从业经验，8年固定收益领域自营投资交易经验，历任江南农商行自营团队负责人，兴银理财投资经理。擅长利率债，衍生品交易，能通过宏观分析与利率策略以及信用价值挖掘为组合做出较稳定的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今年上半年债市整体呈现先上后下的趋势。春节前还是延续去年上行的趋势，主要因对宽信用和经济复苏的预期较强。但春节后逐渐发现经济数据较预期弱，政策力度也偏稳，导致市场有所波动，在3月两会结束后市场重新回到下通道，伴随降准降息，利率基本回到上行前的低点附近。权益方面，春节前也是对地产基建复苏的预期较强，相关偏周期板块表现较好。春节后随着chatgpt带来的AI革命，AIGC相关TMT板块表现强势，相关行业指数上涨接近40%。但4月底开始中特估上涨后导致市场估值体系混乱，随后大盘开始调整。AI相关虽然表现仍强于大盘，但整体股市处于震荡回落态势。各主题轮流表现，但整体回落。本报告期内，本组合根据市场情况适当调整债券持仓，利用利率衍生品对冲久期风险。对权益资产适当配置并积极调整结构。本组合净值在本报告期内表现尚可。</w:t>
            </w:r>
          </w:p>
        </w:tc>
        <w:tc>
          <w:tcPr>
     </w:tcPr>
          <w:p>
            <w:pPr>
              <w:pStyle w:val="EMPTY_CELL_STYLE"/>
            </w:pPr>
          </w:p>
        </w:tc>
        <w:tc>
          <w:tcPr>
     </w:tcPr>
          <w:p>
            <w:pPr>
              <w:pStyle w:val="EMPTY_CELL_STYLE"/>
            </w:pPr>
          </w:p>
        </w:tc>
        <w:tc>
          <w:tcPr>
     </w:tcPr>
          <w:p>
            <w:pPr>
              <w:pStyle w:val="EMPTY_CELL_STYLE"/>
            </w:pPr>
          </w:p>
        </w:tc>
      </w:tr>
      <w:tr>
        <w:trPr>
          <w:trHeight w:hRule="exact" w:val="1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47.35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建信保险资管-浦江粤启1号资产支持计划第5期—万科（深圳分行）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206,606,315.30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万家家享中短债债券型证券投资基金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79,913,799.78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创金合信鑫日享短债债券型证券投资基金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53,261,799.15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22南控01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50,553,919.87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22蜀道投资MTN008(乡村振兴)</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50,308,637.98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交行优1（交通银行优先股）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47,085,189.04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鹏扬浦利中短债债券型证券投资基金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40,182,201.52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农行优2（农业银行优先股）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38,804,875.30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21穗建02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31,453,629.04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景顺长城景颐双利A ( 000385.OF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30,802,796.41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1.84</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21建发集MTN002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21胶州城投MTN002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22栾川钼业MTN001(可持续挂钩)</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24.79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兴业期货-丰泰2号集合资产管理计划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兴业期货-兴合1号集合资产管理计划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169.52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051010100101214224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兴银理财增盈优选25号净值型理财产品</w:t>
                        </w:r>
                      </w:p>
                    </w:tc>
                  </w:tr>
                </w:tbl>
                <w:p>
                  <w:pPr>
                    <w:pStyle w:val="EMPTY_CELL_STYLE"/>
                  </w:pPr>
                </w:p>
              </w:tc>
            </w:tr>
          </w:tbl>
          <w:p>
            <w:pPr>
              <w:pStyle w:val="EMPTY_CELL_STYLE"/>
            </w:pP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兴银理财增盈优选25号净值型理财产品2023年半年度报告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