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兴银理财ESG兴动未来1号净值型理财产品2023年半年度报告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兴银理财ESG兴动未来1号净值型理财产品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兴银理财ESG兴动未来1号净值型理财产品2023年半年度报告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兴银理财ESG兴动未来1号净值型理财产品2023年半年度报告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兴银理财ESG兴动未来1号净值型理财产品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9K221501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Z7002021000149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813,595,609.55份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兴银理财ESG兴动未来1号净值型理财产品2023年半年度报告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产品9K221501自成立日以来，累计净值增长率为7.3770%，年化累计净值增长率为3.6784%。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1.07377</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1.07377</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873,610,844.90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一、市场回顾及市场展望。</w:t>
              <w:br/>
              <w:t xml:space="preserve">    首先，中长周期的角度（3-7年）可能是美国再工业化，中国商品滞销，中国叠加人口、地产的大顶，存在长时间的资产负债表衰退的过程，类似日本90年代，但好在是个长周期的维度，同时，还有东南亚城镇化率的提升、中东的工业化，所以不影响短周期的市场判断。中期维度，本轮库存周期应该是个中等幅度的经济周期，比13年强，比16年弱，从时间维度上看，目前可能才走到 1/3的位置，23年大概处于弱复苏的阶段，节奏上三阶段，强预期、弱现实，再到政策发力，假设没有黑天鹅，从年尾回头看，虽然不一定大涨，但可能债券未必弱、股票存结构性机会，因此，债券不宜过于悲观，维持中性久期，保持谨慎心态可能更合适。股票前一阶段走“弱现实，预期转弱”的逻辑，但是市场有人工智能、中特估的催化，估值和情绪低位以及去年系统性风险的释放，使得市场较难有大幅回调，当前悲观预期逐步散去，情绪从乐观到悲观，再到理性中性，当前市场对政策和宏观周期的预期都很低，如果经济略有恢复，对市场将会是上涨期权，核心是资本市场和民营企业信心回来，价值和核心资产与科技成长都存在机会。</w:t>
              <w:br/>
              <w:t xml:space="preserve">二、组合策略。</w:t>
              <w:br/>
              <w:t xml:space="preserve">    兴动未来1号采用高仓位债券资产，久期1-2年；权益仓位10%，结构中，整体配置较为均衡，增加了中特估、TMT等行业配置比例，提升组合进攻性。</w:t>
            </w:r>
          </w:p>
        </w:tc>
        <w:tc>
          <w:tcPr>
     </w:tcPr>
          <w:p>
            <w:pPr>
              <w:pStyle w:val="EMPTY_CELL_STYLE"/>
            </w:pPr>
          </w:p>
        </w:tc>
      </w:tr>
      <w:tr>
        <w:trPr>
          <w:trHeight w:hRule="exact" w:val="2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兴银理财ESG兴动未来1号净值型理财产品2023年半年度报告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兴银理财ESG兴动未来1号净值型理财产品2023年半年度报告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安信永鑫增强债券型证券投资基金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65,357,515.41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23宁海城投PPN001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40,926,748.42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21华福C2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40,672,664.66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40,097,094.46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富国天利增长债券投资基金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35,049,704.76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21武夷01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31,532,274.66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31,060,924.93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23首开MTN002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31,007,990.98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29,851,309.48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22荆门债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27,021,591.12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兴银理财ESG兴动未来1号净值型理财产品2023年半年度报告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21华福C2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21江津城建MTN001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22临空港MTN001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22临沂城发MTN001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22宜春发展PPN001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兴银理财ESG兴动未来1号净值型理财产品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兴银理财ESG兴动未来1号净值型理财产品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051010100101221547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兴银理财ESG兴动未来1号净值型理财产品</w:t>
                        </w:r>
                      </w:p>
                    </w:tc>
                  </w:tr>
                </w:tbl>
                <w:p>
                  <w:pPr>
                    <w:pStyle w:val="EMPTY_CELL_STYLE"/>
                  </w:pPr>
                </w:p>
              </w:tc>
            </w:tr>
          </w:tbl>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兴银理财ESG兴动未来1号净值型理财产品2023年半年度报告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