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兴银理财稳享幸福日开1号（六个月持有）增强型固收类理财产品2023年半年度报告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兴银理财稳享幸福日开1号（六个月持有）增强型固收类理财产品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兴银理财稳享幸福日开1号（六个月持有）增强型固收类理财产品2023年半年度报告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兴银理财稳享幸福日开1号（六个月持有）增强型固收类理财产品2023年半年度报告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兴银理财稳享幸福日开1号（六个月持有）增强型固收类理财产品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9K231010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Z7002021000265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228,989,607.96份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3.65%--5.75%/--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兴银理财稳享幸福日开1号（六个月持有）增强型固收类理财产品2023年半年度报告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产品9K231010自成立日以来，累计净值增长率为-0.4890%，年化累计净值增长率为-0.3245%。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0.99511</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0.99511</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227,870,470.40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孙新华，清华大学计算机系本科、硕士，金融领域从业8年。历任华创证券资产管理部投资经理、投资经理助理、通联数据量化研究员。2020年11月加入兴银理财，任多资产投资部投资经理。投资理念偏向系统化投资，运用量化投资方法寻求绝对收益。  </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今年的市场已从年初的强预期、弱现实进入弱预期、弱现实的阶段，预期驱动的行情已经基本告一段落。权益年初的乐观情绪目前已经很大程度上偃旗息鼓，而债市在4月以来走出一波小行情。具体而言，去年12月以来，随着地产“三支箭”、防疫“新十条”先后出台，经济企稳预期升温。叠加权益估值较低，年底以来权益市场经历了一轮升温。今年1-2月，春节出游和消费数据超预期，地产复苏，PMI显著回暖，疫后积压需求的释放或是主要推动因素。随后，经济数据趋于平淡，权益市场情绪释放到位。继续上行动力不足，4月以来风格出现一定切换，大盘进入震荡下行。债市短期受益于经济弱现实，10年国债利率一度下行至2.7以下。面对这种复杂行情，我们坚持以风险平价为主的绝对收益策略，持续比较股债性价比并以此为依据动态调整权益仓位比例。展望后市，稳增长仍是主要矛盾，货币环境大概率保持宽松，经济复苏节奏决定了股债相对强弱，但暂时没有看到股债双杀的基础。宽松环境下债市预计存在阶段性机会，权益市场近期受情绪驱动，密切关注AI等产业发展以及政策情况。</w:t>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3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兴银理财稳享幸福日开1号（六个月持有）增强型固收类理财产品2023年半年度报告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兴银理财稳享幸福日开1号（六个月持有）增强型固收类理财产品2023年半年度报告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664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交银双轮动债券A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17,439,859.34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永赢昌利债券A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17,432,247.98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交银纯债AB</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16,444,864.85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交银丰晟收益债券A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15,150,802.04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交银裕隆纯债债券A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14,223,313.11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交银施罗德稳益短债债券型证券投资基金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13,902,692.78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鑫元中短债债券型证券投资基金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13,575,489.28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建信中短债纯债债券型证券投资基金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13,561,798.94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建信纯债债券A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8,819,240.10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交银增利债券A/B</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7,624,773.79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3.35</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兴银理财稳享幸福日开1号（六个月持有）增强型固收类</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兴银理财稳享幸福日开1号（六个月持有）增强型固收类理财产品2023年半年度报告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051010100101322012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兴银理财稳享幸福日开1号六个月持有增强型固收类理财产品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