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兴银理财日日新2号净值型理财产品 </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兴银理财日日新2号净值型理财产品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13,880,452,358.9份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0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6,092,656,926.39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5,985,524,358.62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172,801,091.03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99,190,964.04</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4"/>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添利日日新2号E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747,133,021.92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兴银日日新2号F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174,532,004.77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兴银理财日日新2号（私行）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600,963,553.43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兴银日日新2号H</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7,638,420.83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兴银日日新2号I</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9B31010I</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12,017.87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4"/>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31010A七日年化收益率均值2.4026%，9B31010B七日年化收益率均值2.1257%，9B31010C七日年化收益率均值2.4315%，9B31010D七日年化收益率均值2.5650%，9B31010E七日年化收益率均值2.5622%，9B31010F七日年化收益率均值2.5636%，9B31010G七日年化收益率均值2.4233%，9B31010H七日年化收益率均值2.3272%，9B31010I七日年化收益率均值2.2128%。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2023-04-25至2023-06-30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2023-06-02至2023-06-30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2023-03-14至2023-06-30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2023-04-26至2023-06-30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2023-04-26至2023-06-30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2023-04-26至2023-06-30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13,880,452,358.90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6,092,656,926.39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5,985,524,358.62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172,801,091.03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99,190,964.04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747,133,021.92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174,532,004.77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600,963,553.43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7,638,420.83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12,017.87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本产品始终将保持流动性安全和防范信用风险作为第一要务，在此基础上通过稳健的投资风格实现相对有竞争力的收益。报告期内，本产品规模稳中略降，杠杆平稳，运作安全。二季度以来，经济动能放缓、货币政策宽松、存款利率调降等因素促使债券利率加速下行。特别是利率债，相比信用债下行幅度更大，利差从5月开始呈现被动走阔。</w:t>
              <w:br/>
              <w:t xml:space="preserve">    配置策略上，积极把握资金面波动带来的市场阶段性高点的买入机会，尤其是季度末、缴税等关键时间节点，都是短期资产建仓的买点。资产品种上，依然以同业存单、高等级信用债、存放同业、ABS等品种为主，并抓住季度末时点布局了一批利率债，为三季度打下基础。此外，组合久期维持在80-100天，产品收益率先降后升，保持市场前列，具有竞争优势。</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650,873,611.08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Z存放同业（线上）20230506005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502,061,111.36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501,907,260.27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428,498,234.13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定期存款20230307015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403,877,260.56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定期存款20230529005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401,048,767.06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定期存款20230516004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351,272,945.15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310,022,388.89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304,210,417.45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定期存款20230228016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302,982,329.34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20深圳资本MTN001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22杭金投SCP010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23福州新发SCP001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23南京医药SCP003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23青岛华通CP001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23陕煤化SCP002(科创票据)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23一汽租赁SCP004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23正泰SCP002(科创票据)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23中原资产SCP002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23鲲鹏资本SCP005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兴银理财日日新2号净值型理财产品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50,027,800.73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49,977,542.73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40,131,823.32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30,535,982.02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30,105,662.91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 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29,980,489.32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27,050,057.20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25,033,984.53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24,652,892.83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24,094,428.49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8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