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兴银理财金雪球稳利1号A款净值型理财产品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兴银理财金雪球稳利1号A款净值型理财产品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11,170,444,639.75份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产品9C212001自成立日以来，累计净值增长率为11.3540%，年化累计净值增长率为3.6739%。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1.11354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1.11354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12,438,788,144.58</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上海交通大学硕士，具有5年固定收益投资经验，历任兴银理财固定收益部投资助理、投资经理，负责多款上市企业专户产品及公募产品管理，管理规模超过550亿，产品业绩优异，擅长利率债交易及信用债套利挖掘，投资风格灵活，专注于多策略获取组合超额回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3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定期存款20230428001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1,206,340,749.43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招商银行成都分行大额存单20210820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532,162,542.13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中国工商银行兰州分行大额存单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527,361,486.56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中国工商银行遵义分行大额存单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522,523,664.36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522,246,522.40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22CSFD171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334,866,794.79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203,487,890.41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22CSFD141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203,262,805.48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195,587,690.16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195,348,957.05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r>
          </w:tbl>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19农四师MTN001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20香城投资MTN002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21滨湖建设MTN001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21长三角ABN001优先A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24,245,000.00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21巢湖城镇MTN002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21海鸿投资MTN001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21淮安国投MTN003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21江西铁航ABN001优先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21椒江国资MTN001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21南通产业MTN002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21水发优</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21泰兴城投PPN001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21许昌投资PPN001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21重庆高新PPN002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22福建漳州CP002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22即墨旅投PPN001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22临沂城发MTN001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22潞安MTN005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22湘建工SCP001(科创票据)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22徐州高新MTN001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兴银理财金雪球稳利1号A款净值型理财产品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兴银理财金雪球稳利1号A款净值型理财产品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051010100101029516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兴银理财金雪球稳利1号A款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4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