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兴业银行“现金宝4号”私人银行类人民币理财产品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兴业银行“现金宝4号”私人银行类人民币理财产品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84212041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61,639,735,228.59份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现金宝4号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84212041（适用【A】份额）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61,639,735,228.59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报告期内，84212041七日年化收益率均值2.5374%。同期业绩比较基准¹如下：</w:t>
            </w: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80"/>
        <w:gridCol w:w="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84212041（适用【A】份额）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61,639,735,228.59</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61,639,735,228.59</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br/>
              <w:t xml:space="preserve">二 前期运作回顾</w:t>
              <w:br/>
              <w:t xml:space="preserve">    本产品始终将保持流动性安全和防范信用风险作为第一要务，在此基础上通过稳健的投资风格实现相对有竞争力的收益。报告期内，本产品规模稳中略降，杠杆平稳，运作安全。二季度以来，经济动能放缓、货币政策宽松、存款利率调降等因素促使债券利率加速下行。特别是利率债，相比信用债下行幅度更大，利差从5月开始呈现被动走阔。</w:t>
              <w:br/>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配置策略上，积极把握资金面波动带来的市场阶段性高点的买入机会，尤其是季度末、缴税等关键时间节点，都是短期资产建仓的买点。资产品种上，依然以同业存单、高等级信用债、存放同业、ABS等品种为主，并抓住季度末时点布局了一批利率债，为三季度打下基础。此外，组合久期维持在80-100天，产品收益率先降后升，保持市场前列，具有竞争优势。</w:t>
              <w:br/>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农业银行昆明分行活期存款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6,237,896,527.78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2,020,690,410.96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1,517,685,616.79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1,517,318,750.00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1,515,812,500.50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1,515,601,667.16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1,500,700,000.02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1,012,445,000.38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Z存放同业（线上）20230129004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1,010,837,499.49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Z存放同业（线上）20230214020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18常交通MTN001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18沪临港MTN001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18萧山国资MTN002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19陕投集团MTN001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20山高01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21山东国惠MTN002A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22杭金投SCP010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22左海控股SCP001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23大唐新能2ABN002优先(碳中和债)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23海润城发SCP001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23临海国投PPN001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23农垦SCP002(绿色乡村振兴)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兴业银行“现金宝4号”私人银行类人民币理财产品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兴业银行“现金宝4号”私人银行类人民币理财产品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兴业银行“现金宝4号”私人银行类人民币理财产品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051010100100006103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兴业银行股份有限公司理财产品托管专户（现金宝4号）</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360,752,136.51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216,724,931.81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200,357,215.31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124,671,870.14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103,556,666.86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103,204,188.00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102,298,579.94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100,119,178.34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91,005,380.35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81,136,855.93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0.1316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