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兴银理财稳利丰收封闭式1期固收类理财产品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兴银理财稳利丰收封闭式1期固收类理财产品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51,794,271份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9C31001A：3.10%--4.00%/--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稳利丰收封闭式1期A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51,794,271.00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产品9C31001A自成立日以来，累计净值增长率为3.1950%，年化累计净值增长率为5.6887%。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53,449,151.56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53,449,151.56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2,246,027.86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2,237,820.96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2,236,490.11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1,787,417.63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1,787,062.74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1,780,142.33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1,778,722.75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1,759,026.20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1,758,138.97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1,361,590.62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