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兴银理财稳利丰收封闭式2期固收类理财产品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兴银理财稳利丰收封闭式2期固收类理财产品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410,000份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9C31002A：3.10%--4.00%/--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稳利丰收封闭式2期A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410,000.00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产品9C31002A自成立日以来，累计净值增长率为3.1320%，年化累计净值增长率为5.6875%。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422,840.28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422,840.28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16,449.52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13,143.95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13,082.61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12,937.74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12,931.22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