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兴银理财稳利丰收封闭式20期固收类理财产品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兴银理财稳利丰收封闭式20期固收类理财产品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9C310200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Z7002022000857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3,905,283份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9C31020A：3.10%--4.00%/--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稳利丰收封闭式20期A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9C31020A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3,905,283.00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产品9C31020A自成立日以来，累计净值增长率为2.4990%，年化累计净值增长率为6.7069%。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4,002,865.72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4,002,865.72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159,461.73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158,879.06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158,784.58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126,901.68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126,876.48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126,385.15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126,284.37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124,885.97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124,822.98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96,669.15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兴银理财稳利丰收封闭式20期固收类理财产品2023年半年度报告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兴银理财稳利丰收封闭式20期固收类理财产品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051010100101518249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