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兴银理财稳利丰收封闭式22号固收类理财产品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兴银理财稳利丰收封闭式22号固收类理财产品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Z7002022000849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9,630,983份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9C31022A：3.10%--4.00%/--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稳利丰收封闭式22号A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9,630,983.00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产品9C31022A自成立日以来，累计净值增长率为1.8800%，年化累计净值增长率为6.3537%。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9,812,088.53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9,812,088.53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407,673.53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406,183.90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405,942.34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324,431.79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324,367.38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323,111.26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322,853.60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319,278.50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319,117.46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247,140.50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051010100101518126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