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Z7002022000855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5,422,000份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9C31023A：3.10%--4.00%/--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5,422,000.00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产品9C31023A自成立日以来，累计净值增长率为1.4980%，年化累计净值增长率为5.8167%。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5,503,212.48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5,503,212.48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225,863.33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225,038.04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224,904.21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179,744.92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179,709.24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179,013.31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178,870.56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176,889.85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176,800.63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136,923.23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051010100101518505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